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______________________</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1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11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June 12, 2026</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w:t>
      </w:r>
    </w:p>
    <w:p>
      <w:pPr>
        <w:spacing w:after="0" w:line="45"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______________________</w:t>
      </w:r>
    </w:p>
    <w:p>
      <w:pPr>
        <w:spacing w:after="0" w:line="62" w:lineRule="exact"/>
        <w:rPr>
          <w:sz w:val="24"/>
          <w:szCs w:val="24"/>
          <w:color w:val="auto"/>
        </w:rPr>
      </w:pPr>
    </w:p>
    <w:p>
      <w:pPr>
        <w:jc w:val="center"/>
        <w:ind w:right="-19"/>
        <w:spacing w:after="0"/>
        <w:rPr>
          <w:sz w:val="20"/>
          <w:szCs w:val="20"/>
          <w:color w:val="auto"/>
        </w:rPr>
      </w:pPr>
      <w:r>
        <w:rPr>
          <w:rFonts w:ascii="Arial" w:cs="Arial" w:eastAsia="Arial" w:hAnsi="Arial"/>
          <w:sz w:val="39"/>
          <w:szCs w:val="39"/>
          <w:b w:val="1"/>
          <w:bCs w:val="1"/>
          <w:color w:val="auto"/>
        </w:rPr>
        <w:t>ENCORE CAPITAL GROUP, INC.</w:t>
      </w:r>
    </w:p>
    <w:p>
      <w:pPr>
        <w:spacing w:after="0" w:line="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32" w:lineRule="exact"/>
        <w:rPr>
          <w:sz w:val="24"/>
          <w:szCs w:val="24"/>
          <w:color w:val="auto"/>
        </w:rPr>
      </w:pPr>
    </w:p>
    <w:p>
      <w:pPr>
        <w:ind w:left="182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jc w:val="center"/>
        <w:ind w:right="1780"/>
        <w:spacing w:after="0"/>
        <w:rPr>
          <w:sz w:val="20"/>
          <w:szCs w:val="20"/>
          <w:color w:val="auto"/>
        </w:rPr>
      </w:pPr>
      <w:r>
        <w:rPr>
          <w:rFonts w:ascii="Arial" w:cs="Arial" w:eastAsia="Arial" w:hAnsi="Arial"/>
          <w:sz w:val="17"/>
          <w:szCs w:val="17"/>
          <w:b w:val="1"/>
          <w:bCs w:val="1"/>
          <w:color w:val="auto"/>
        </w:rPr>
        <w:t>000-26489</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48-1090909</w:t>
      </w:r>
    </w:p>
    <w:p>
      <w:pPr>
        <w:spacing w:after="0" w:line="74" w:lineRule="exact"/>
        <w:rPr>
          <w:sz w:val="24"/>
          <w:szCs w:val="24"/>
          <w:color w:val="auto"/>
        </w:rPr>
      </w:pPr>
    </w:p>
    <w:p>
      <w:pPr>
        <w:sectPr>
          <w:pgSz w:w="11900" w:h="16838" w:orient="portrait"/>
          <w:cols w:equalWidth="0" w:num="3">
            <w:col w:w="4460" w:space="720"/>
            <w:col w:w="2640" w:space="720"/>
            <w:col w:w="2700"/>
          </w:cols>
          <w:pgMar w:left="320" w:top="1440" w:right="339" w:bottom="1440" w:gutter="0" w:footer="0" w:header="0"/>
          <w:type w:val="continuous"/>
        </w:sectPr>
      </w:pPr>
    </w:p>
    <w:p>
      <w:pPr>
        <w:jc w:val="center"/>
        <w:ind w:left="620"/>
        <w:spacing w:after="0"/>
        <w:rPr>
          <w:sz w:val="20"/>
          <w:szCs w:val="20"/>
          <w:color w:val="auto"/>
        </w:rPr>
      </w:pPr>
      <w:r>
        <w:rPr>
          <w:rFonts w:ascii="Arial" w:cs="Arial" w:eastAsia="Arial" w:hAnsi="Arial"/>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5" w:lineRule="exact"/>
        <w:rPr>
          <w:sz w:val="24"/>
          <w:szCs w:val="24"/>
          <w:color w:val="auto"/>
        </w:rPr>
      </w:pPr>
    </w:p>
    <w:p>
      <w:pPr>
        <w:sectPr>
          <w:pgSz w:w="11900" w:h="16838" w:orient="portrait"/>
          <w:cols w:equalWidth="0" w:num="3">
            <w:col w:w="3820" w:space="720"/>
            <w:col w:w="2440" w:space="720"/>
            <w:col w:w="3540"/>
          </w:cols>
          <w:pgMar w:left="320" w:top="1440" w:right="339" w:bottom="1440" w:gutter="0" w:footer="0" w:header="0"/>
          <w:type w:val="continuous"/>
        </w:sectPr>
      </w:pPr>
    </w:p>
    <w:p>
      <w:pPr>
        <w:ind w:left="1680"/>
        <w:spacing w:after="0"/>
        <w:rPr>
          <w:sz w:val="20"/>
          <w:szCs w:val="20"/>
          <w:color w:val="auto"/>
        </w:rPr>
      </w:pPr>
      <w:r>
        <w:rPr>
          <w:rFonts w:ascii="Arial" w:cs="Arial" w:eastAsia="Arial" w:hAnsi="Arial"/>
          <w:sz w:val="18"/>
          <w:szCs w:val="18"/>
          <w:color w:val="auto"/>
        </w:rPr>
        <w:t>incorporation)</w:t>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350 Camino de la Reina, Suite 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Diego, California 92108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offices)(Zip Code)</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(877) 345-3002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45"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_____________________</w:t>
      </w:r>
    </w:p>
    <w:p>
      <w:pPr>
        <w:spacing w:after="0" w:line="63" w:lineRule="exact"/>
        <w:rPr>
          <w:sz w:val="24"/>
          <w:szCs w:val="24"/>
          <w:color w:val="auto"/>
        </w:rPr>
      </w:pPr>
    </w:p>
    <w:p>
      <w:pPr>
        <w:ind w:right="140"/>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8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40"/>
          </w:cols>
          <w:pgMar w:left="320" w:top="1440" w:right="339" w:bottom="1440" w:gutter="0" w:footer="0" w:header="0"/>
          <w:type w:val="continuous"/>
        </w:sectPr>
      </w:pPr>
    </w:p>
    <w:p>
      <w:pPr>
        <w:spacing w:after="0" w:line="50" w:lineRule="exact"/>
        <w:rPr>
          <w:sz w:val="24"/>
          <w:szCs w:val="24"/>
          <w:color w:val="auto"/>
        </w:rPr>
      </w:pPr>
    </w:p>
    <w:p>
      <w:pPr>
        <w:ind w:left="1460"/>
        <w:spacing w:after="0"/>
        <w:rPr>
          <w:sz w:val="20"/>
          <w:szCs w:val="20"/>
          <w:color w:val="auto"/>
        </w:rPr>
      </w:pPr>
      <w:r>
        <w:rPr>
          <w:rFonts w:ascii="Arial" w:cs="Arial" w:eastAsia="Arial" w:hAnsi="Arial"/>
          <w:sz w:val="17"/>
          <w:szCs w:val="17"/>
          <w:color w:val="auto"/>
        </w:rPr>
        <w:t>Title of each class</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Arial" w:cs="Arial" w:eastAsia="Arial" w:hAnsi="Arial"/>
          <w:sz w:val="18"/>
          <w:szCs w:val="18"/>
          <w:color w:val="auto"/>
        </w:rPr>
        <w:t>Trading Symbol(s)</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Arial" w:cs="Arial" w:eastAsia="Arial" w:hAnsi="Arial"/>
          <w:sz w:val="18"/>
          <w:szCs w:val="18"/>
          <w:color w:val="auto"/>
        </w:rPr>
        <w:t>Name of each exchange on which registered</w:t>
      </w:r>
    </w:p>
    <w:p>
      <w:pPr>
        <w:spacing w:after="0" w:line="32" w:lineRule="exact"/>
        <w:rPr>
          <w:sz w:val="24"/>
          <w:szCs w:val="24"/>
          <w:color w:val="auto"/>
        </w:rPr>
      </w:pPr>
    </w:p>
    <w:p>
      <w:pPr>
        <w:sectPr>
          <w:pgSz w:w="11900" w:h="16838" w:orient="portrait"/>
          <w:cols w:equalWidth="0" w:num="3">
            <w:col w:w="3880" w:space="720"/>
            <w:col w:w="1660" w:space="720"/>
            <w:col w:w="4260"/>
          </w:cols>
          <w:pgMar w:left="320" w:top="1440" w:right="339" w:bottom="1440" w:gutter="0" w:footer="0" w:header="0"/>
          <w:type w:val="continuous"/>
        </w:sectPr>
      </w:pPr>
    </w:p>
    <w:p>
      <w:pPr>
        <w:ind w:left="380"/>
        <w:spacing w:after="0"/>
        <w:rPr>
          <w:sz w:val="20"/>
          <w:szCs w:val="20"/>
          <w:color w:val="auto"/>
        </w:rPr>
      </w:pPr>
      <w:r>
        <w:rPr>
          <w:rFonts w:ascii="Arial" w:cs="Arial" w:eastAsia="Arial" w:hAnsi="Arial"/>
          <w:sz w:val="17"/>
          <w:szCs w:val="17"/>
          <w:b w:val="1"/>
          <w:bCs w:val="1"/>
          <w:color w:val="auto"/>
        </w:rPr>
        <w:t>Common Stock, $0.01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ECPG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The NASDAQ Stock Market LLC</w:t>
      </w:r>
    </w:p>
    <w:p>
      <w:pPr>
        <w:spacing w:after="0" w:line="186" w:lineRule="exact"/>
        <w:rPr>
          <w:sz w:val="24"/>
          <w:szCs w:val="24"/>
          <w:color w:val="auto"/>
        </w:rPr>
      </w:pPr>
    </w:p>
    <w:p>
      <w:pPr>
        <w:sectPr>
          <w:pgSz w:w="11900" w:h="16838" w:orient="portrait"/>
          <w:cols w:equalWidth="0" w:num="3">
            <w:col w:w="4360" w:space="720"/>
            <w:col w:w="1600" w:space="720"/>
            <w:col w:w="3840"/>
          </w:cols>
          <w:pgMar w:left="320" w:top="1440" w:right="339" w:bottom="1440" w:gutter="0" w:footer="0" w:header="0"/>
          <w:type w:val="continuous"/>
        </w:sectPr>
      </w:pPr>
    </w:p>
    <w:p>
      <w:pPr>
        <w:spacing w:after="0" w:line="28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 w:lineRule="exact"/>
        <w:rPr>
          <w:sz w:val="24"/>
          <w:szCs w:val="24"/>
          <w:color w:val="auto"/>
        </w:rPr>
      </w:pPr>
    </w:p>
    <w:p>
      <w:pPr>
        <w:ind w:left="4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30" w:lineRule="exact"/>
        <w:rPr>
          <w:sz w:val="24"/>
          <w:szCs w:val="24"/>
          <w:color w:val="auto"/>
        </w:rPr>
      </w:pPr>
    </w:p>
    <w:p>
      <w:pPr>
        <w:ind w:right="20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964565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jc w:val="both"/>
        <w:spacing w:after="0" w:line="296"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June 12, 2026, Encore Capital Group, Inc. (the “Company”) held its 2026 Annual Meeting of Stockholders (the “Annual Meeting”). At the Annual Meeting, the Company’s stockholders approved the Amended and Restated Encore Capital Group, Inc. 2017 Incentive Award Plan (the “A&amp;R Plan”), which amends and restates the Encore Capital Group, Inc. 2017 Incentive Award Plan (the “Original Plan”). The A&amp;R Plan was adopted by the Board of Directors (the “Board”) of the Company on April 14, 2026, and became effective upon stockholder approval at the Annual Meeting.</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A&amp;R Plan makes the following material amendments to the Original Plan:</w:t>
      </w:r>
    </w:p>
    <w:p>
      <w:pPr>
        <w:spacing w:after="0" w:line="185" w:lineRule="exact"/>
        <w:rPr>
          <w:sz w:val="20"/>
          <w:szCs w:val="20"/>
          <w:color w:val="auto"/>
        </w:rPr>
      </w:pPr>
    </w:p>
    <w:p>
      <w:pPr>
        <w:ind w:firstLine="1061"/>
        <w:spacing w:after="0" w:line="287" w:lineRule="auto"/>
        <w:tabs>
          <w:tab w:leader="none" w:pos="1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Increases the aggregate number of shares of common stock of the Company (“Common Stock”) reserved for issuance by 650,000 shares;</w:t>
      </w:r>
    </w:p>
    <w:p>
      <w:pPr>
        <w:spacing w:after="0" w:line="112" w:lineRule="exact"/>
        <w:rPr>
          <w:rFonts w:ascii="Arial" w:cs="Arial" w:eastAsia="Arial" w:hAnsi="Arial"/>
          <w:sz w:val="18"/>
          <w:szCs w:val="18"/>
          <w:color w:val="auto"/>
        </w:rPr>
      </w:pPr>
    </w:p>
    <w:p>
      <w:pPr>
        <w:ind w:right="20" w:firstLine="1061"/>
        <w:spacing w:after="0" w:line="287" w:lineRule="auto"/>
        <w:tabs>
          <w:tab w:leader="none" w:pos="1306"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Increases the aggregate number of shares of Common Stock that may be granted as incentive stock options under the A&amp;R Plan by 650,000 shares;</w:t>
      </w:r>
    </w:p>
    <w:p>
      <w:pPr>
        <w:spacing w:after="0" w:line="125" w:lineRule="exact"/>
        <w:rPr>
          <w:rFonts w:ascii="Arial" w:cs="Arial" w:eastAsia="Arial" w:hAnsi="Arial"/>
          <w:sz w:val="18"/>
          <w:szCs w:val="18"/>
          <w:color w:val="auto"/>
        </w:rPr>
      </w:pPr>
    </w:p>
    <w:p>
      <w:pPr>
        <w:ind w:firstLine="1061"/>
        <w:spacing w:after="0" w:line="239" w:lineRule="exact"/>
        <w:tabs>
          <w:tab w:leader="none" w:pos="1359" w:val="left"/>
        </w:tabs>
        <w:numPr>
          <w:ilvl w:val="0"/>
          <w:numId w:val="2"/>
        </w:numPr>
        <w:rPr>
          <w:rFonts w:ascii="Arial" w:cs="Arial" w:eastAsia="Arial" w:hAnsi="Arial"/>
          <w:sz w:val="18"/>
          <w:szCs w:val="18"/>
          <w:color w:val="auto"/>
        </w:rPr>
      </w:pPr>
      <w:r>
        <w:rPr>
          <w:rFonts w:ascii="Arial" w:cs="Arial" w:eastAsia="Arial" w:hAnsi="Arial"/>
          <w:sz w:val="18"/>
          <w:szCs w:val="18"/>
          <w:color w:val="auto"/>
        </w:rPr>
        <w:t>Eliminates the fungible share ratio so that all awards granted under the A&amp;R Plan following the effective date of the A&amp;R Plan will be counted against the share reserve on a one</w:t>
      </w:r>
      <w:r>
        <w:rPr>
          <w:rFonts w:ascii="MS PGothic" w:cs="MS PGothic" w:eastAsia="MS PGothic" w:hAnsi="MS PGothic"/>
          <w:sz w:val="18"/>
          <w:szCs w:val="18"/>
          <w:color w:val="auto"/>
        </w:rPr>
        <w:t>‑</w:t>
      </w:r>
      <w:r>
        <w:rPr>
          <w:rFonts w:ascii="Arial" w:cs="Arial" w:eastAsia="Arial" w:hAnsi="Arial"/>
          <w:sz w:val="18"/>
          <w:szCs w:val="18"/>
          <w:color w:val="auto"/>
        </w:rPr>
        <w:t>share</w:t>
      </w:r>
      <w:r>
        <w:rPr>
          <w:rFonts w:ascii="MS PGothic" w:cs="MS PGothic" w:eastAsia="MS PGothic" w:hAnsi="MS PGothic"/>
          <w:sz w:val="18"/>
          <w:szCs w:val="18"/>
          <w:color w:val="auto"/>
        </w:rPr>
        <w:t>‑</w:t>
      </w:r>
      <w:r>
        <w:rPr>
          <w:rFonts w:ascii="Arial" w:cs="Arial" w:eastAsia="Arial" w:hAnsi="Arial"/>
          <w:sz w:val="18"/>
          <w:szCs w:val="18"/>
          <w:color w:val="auto"/>
        </w:rPr>
        <w:t>for</w:t>
      </w:r>
      <w:r>
        <w:rPr>
          <w:rFonts w:ascii="MS PGothic" w:cs="MS PGothic" w:eastAsia="MS PGothic" w:hAnsi="MS PGothic"/>
          <w:sz w:val="18"/>
          <w:szCs w:val="18"/>
          <w:color w:val="auto"/>
        </w:rPr>
        <w:t>‑</w:t>
      </w:r>
      <w:r>
        <w:rPr>
          <w:rFonts w:ascii="Arial" w:cs="Arial" w:eastAsia="Arial" w:hAnsi="Arial"/>
          <w:sz w:val="18"/>
          <w:szCs w:val="18"/>
          <w:color w:val="auto"/>
        </w:rPr>
        <w:t>one</w:t>
      </w:r>
      <w:r>
        <w:rPr>
          <w:rFonts w:ascii="MS PGothic" w:cs="MS PGothic" w:eastAsia="MS PGothic" w:hAnsi="MS PGothic"/>
          <w:sz w:val="18"/>
          <w:szCs w:val="18"/>
          <w:color w:val="auto"/>
        </w:rPr>
        <w:t>‑</w:t>
      </w:r>
      <w:r>
        <w:rPr>
          <w:rFonts w:ascii="Arial" w:cs="Arial" w:eastAsia="Arial" w:hAnsi="Arial"/>
          <w:sz w:val="18"/>
          <w:szCs w:val="18"/>
          <w:color w:val="auto"/>
        </w:rPr>
        <w:t>share basis;</w:t>
      </w:r>
    </w:p>
    <w:p>
      <w:pPr>
        <w:spacing w:after="0" w:line="129" w:lineRule="exact"/>
        <w:rPr>
          <w:rFonts w:ascii="Arial" w:cs="Arial" w:eastAsia="Arial" w:hAnsi="Arial"/>
          <w:sz w:val="18"/>
          <w:szCs w:val="18"/>
          <w:color w:val="auto"/>
        </w:rPr>
      </w:pPr>
    </w:p>
    <w:p>
      <w:pPr>
        <w:jc w:val="both"/>
        <w:ind w:firstLine="1061"/>
        <w:spacing w:after="0" w:line="268" w:lineRule="auto"/>
        <w:tabs>
          <w:tab w:leader="none" w:pos="1362" w:val="left"/>
        </w:tabs>
        <w:numPr>
          <w:ilvl w:val="0"/>
          <w:numId w:val="2"/>
        </w:numPr>
        <w:rPr>
          <w:rFonts w:ascii="Arial" w:cs="Arial" w:eastAsia="Arial" w:hAnsi="Arial"/>
          <w:sz w:val="18"/>
          <w:szCs w:val="18"/>
          <w:color w:val="auto"/>
        </w:rPr>
      </w:pPr>
      <w:r>
        <w:rPr>
          <w:rFonts w:ascii="Arial" w:cs="Arial" w:eastAsia="Arial" w:hAnsi="Arial"/>
          <w:sz w:val="18"/>
          <w:szCs w:val="18"/>
          <w:color w:val="auto"/>
        </w:rPr>
        <w:t>Removes the Original Plan’s fixed expiration date so that the A&amp;R Plan will remain in effect unless and until terminated by the Board, subject to share availability (provided, however, that incentive stock options may not be granted under the A&amp;R Plan after April 14, 2036);</w:t>
      </w:r>
    </w:p>
    <w:p>
      <w:pPr>
        <w:spacing w:after="0" w:line="130" w:lineRule="exact"/>
        <w:rPr>
          <w:rFonts w:ascii="Arial" w:cs="Arial" w:eastAsia="Arial" w:hAnsi="Arial"/>
          <w:sz w:val="18"/>
          <w:szCs w:val="18"/>
          <w:color w:val="auto"/>
        </w:rPr>
      </w:pPr>
    </w:p>
    <w:p>
      <w:pPr>
        <w:jc w:val="both"/>
        <w:ind w:firstLine="1061"/>
        <w:spacing w:after="0" w:line="268" w:lineRule="auto"/>
        <w:tabs>
          <w:tab w:leader="none" w:pos="1329" w:val="left"/>
        </w:tabs>
        <w:numPr>
          <w:ilvl w:val="0"/>
          <w:numId w:val="2"/>
        </w:numPr>
        <w:rPr>
          <w:rFonts w:ascii="Arial" w:cs="Arial" w:eastAsia="Arial" w:hAnsi="Arial"/>
          <w:sz w:val="18"/>
          <w:szCs w:val="18"/>
          <w:color w:val="auto"/>
        </w:rPr>
      </w:pPr>
      <w:r>
        <w:rPr>
          <w:rFonts w:ascii="Arial" w:cs="Arial" w:eastAsia="Arial" w:hAnsi="Arial"/>
          <w:sz w:val="18"/>
          <w:szCs w:val="18"/>
          <w:color w:val="auto"/>
        </w:rPr>
        <w:t>Removes provisions intended to enable awards to qualify as “performance-based compensation” under Section 162(m) of the Internal Revenue Code of 1986, as amended, and the regulations issued thereunder, due to changes in law pursuant to the Tax Cuts and Jobs Act of 2017 eliminating this concept; and</w:t>
      </w:r>
    </w:p>
    <w:p>
      <w:pPr>
        <w:spacing w:after="0" w:line="143" w:lineRule="exact"/>
        <w:rPr>
          <w:rFonts w:ascii="Arial" w:cs="Arial" w:eastAsia="Arial" w:hAnsi="Arial"/>
          <w:sz w:val="18"/>
          <w:szCs w:val="18"/>
          <w:color w:val="auto"/>
        </w:rPr>
      </w:pPr>
    </w:p>
    <w:p>
      <w:pPr>
        <w:ind w:left="1360" w:hanging="299"/>
        <w:spacing w:after="0"/>
        <w:tabs>
          <w:tab w:leader="none" w:pos="1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Amends the definition of eligible consultants to include any individual or entity that qualifies as a consultant under the Form</w:t>
      </w:r>
    </w:p>
    <w:p>
      <w:pPr>
        <w:spacing w:after="0" w:line="2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S-8 rules.</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terms and conditions of the A&amp;R Plan are described in the section entitled “Approval of Amended and Restated Encore Capital Group, Inc. 2017 Incentive Award Plan (Proposal No. 4)” in the Company’s Definitive Proxy Statement on Schedule 14A filed with the Securities and Exchange Commission on April 29, 2026. The foregoing description of the A&amp;R Plan does not purport to be complete and is qualified in its entirety by reference to the complete text of the A&amp;R Plan, which is filed as Exhibit 10.1 hereto and incorporated herein by reference.</w:t>
      </w:r>
    </w:p>
    <w:p>
      <w:pPr>
        <w:spacing w:after="0" w:line="13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7"/>
          <w:szCs w:val="17"/>
          <w:b w:val="1"/>
          <w:bCs w:val="1"/>
          <w:color w:val="auto"/>
        </w:rPr>
        <w:t>Amendments to Articles of Incorporation or Bylaws; Change in Fiscal Year.</w:t>
      </w:r>
    </w:p>
    <w:p>
      <w:pPr>
        <w:spacing w:after="0" w:line="19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the Annual Meeting, the Company’s stockholders approved an amendment to the Company’s Amended and Restated Certificate of Incorporation to provide for the exculpation of officers of the Company from liability, as permitted by the Delaware General Corporation Law. On June 12, 2026, the Company filed a certificate of amendment with the Secretary of State of the State of Delaware, which became effective upon filing. The foregoing description does not purport to be complete and is qualified in its entirety by reference to the complete text of the certificate of amendment, a copy of which is filed as Exhibit 3.1 hereto and incorporated herein by reference.</w:t>
      </w:r>
    </w:p>
    <w:p>
      <w:pPr>
        <w:spacing w:after="0" w:line="13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7"/>
          <w:szCs w:val="17"/>
          <w:b w:val="1"/>
          <w:bCs w:val="1"/>
          <w:color w:val="auto"/>
        </w:rPr>
        <w:t>Submission of Matters to a Vote of Security Holders.</w:t>
      </w:r>
    </w:p>
    <w:p>
      <w:pPr>
        <w:spacing w:after="0" w:line="185"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8"/>
          <w:szCs w:val="18"/>
          <w:color w:val="auto"/>
        </w:rPr>
        <w:t>The Company held its Annual Meeting of Stockholders on June 12, 2026. The final voting results on the proposals presented at the Annual Meeting are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970915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 w:name="page3"/>
    <w:bookmarkEnd w:id="2"/>
    <w:p>
      <w:pPr>
        <w:spacing w:after="0" w:line="193"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The first proposal was for the election of the following eight directors: Michael P. Monaco, William C. Goings, Ashwini (Ash) Gupta, Jeffrey A. Hilzinger, Angela A. Knight, Laura Newman Olle, Richard P. Stovsky and Ashish Masih. All eight directors were elected, with the following votes tabulated: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660" w:type="dxa"/>
            <w:vAlign w:val="bottom"/>
          </w:tcPr>
          <w:p>
            <w:pPr>
              <w:spacing w:after="0"/>
              <w:rPr>
                <w:sz w:val="20"/>
                <w:szCs w:val="20"/>
                <w:color w:val="auto"/>
              </w:rPr>
            </w:pPr>
          </w:p>
        </w:tc>
        <w:tc>
          <w:tcPr>
            <w:tcW w:w="2480" w:type="dxa"/>
            <w:vAlign w:val="bottom"/>
          </w:tcPr>
          <w:p>
            <w:pPr>
              <w:jc w:val="center"/>
              <w:ind w:left="310"/>
              <w:spacing w:after="0"/>
              <w:rPr>
                <w:sz w:val="20"/>
                <w:szCs w:val="20"/>
                <w:color w:val="auto"/>
              </w:rPr>
            </w:pPr>
            <w:r>
              <w:rPr>
                <w:rFonts w:ascii="Arial" w:cs="Arial" w:eastAsia="Arial" w:hAnsi="Arial"/>
                <w:sz w:val="18"/>
                <w:szCs w:val="18"/>
                <w:b w:val="1"/>
                <w:bCs w:val="1"/>
                <w:color w:val="auto"/>
                <w:w w:val="96"/>
              </w:rPr>
              <w:t>For</w:t>
            </w:r>
          </w:p>
        </w:tc>
        <w:tc>
          <w:tcPr>
            <w:tcW w:w="1820" w:type="dxa"/>
            <w:vAlign w:val="bottom"/>
          </w:tcPr>
          <w:p>
            <w:pPr>
              <w:ind w:left="600"/>
              <w:spacing w:after="0"/>
              <w:rPr>
                <w:sz w:val="20"/>
                <w:szCs w:val="20"/>
                <w:color w:val="auto"/>
              </w:rPr>
            </w:pPr>
            <w:r>
              <w:rPr>
                <w:rFonts w:ascii="Arial" w:cs="Arial" w:eastAsia="Arial" w:hAnsi="Arial"/>
                <w:sz w:val="18"/>
                <w:szCs w:val="18"/>
                <w:b w:val="1"/>
                <w:bCs w:val="1"/>
                <w:color w:val="auto"/>
              </w:rPr>
              <w:t>Withhold</w:t>
            </w:r>
          </w:p>
        </w:tc>
        <w:tc>
          <w:tcPr>
            <w:tcW w:w="2220" w:type="dxa"/>
            <w:vAlign w:val="bottom"/>
          </w:tcPr>
          <w:p>
            <w:pPr>
              <w:jc w:val="center"/>
              <w:ind w:left="90"/>
              <w:spacing w:after="0"/>
              <w:rPr>
                <w:sz w:val="20"/>
                <w:szCs w:val="20"/>
                <w:color w:val="auto"/>
              </w:rPr>
            </w:pPr>
            <w:r>
              <w:rPr>
                <w:rFonts w:ascii="Arial" w:cs="Arial" w:eastAsia="Arial" w:hAnsi="Arial"/>
                <w:sz w:val="18"/>
                <w:szCs w:val="18"/>
                <w:b w:val="1"/>
                <w:bCs w:val="1"/>
                <w:color w:val="auto"/>
                <w:w w:val="99"/>
              </w:rPr>
              <w:t>Broker Non-Votes</w:t>
            </w:r>
          </w:p>
        </w:tc>
      </w:tr>
      <w:tr>
        <w:trPr>
          <w:trHeight w:val="230"/>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Michael P. Monaco</w:t>
            </w:r>
          </w:p>
        </w:tc>
        <w:tc>
          <w:tcPr>
            <w:tcW w:w="248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9"/>
              </w:rPr>
              <w:t>18,044,582</w:t>
            </w:r>
          </w:p>
        </w:tc>
        <w:tc>
          <w:tcPr>
            <w:tcW w:w="18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8"/>
              </w:rPr>
              <w:t>315,569</w:t>
            </w:r>
          </w:p>
        </w:tc>
        <w:tc>
          <w:tcPr>
            <w:tcW w:w="222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9"/>
              </w:rPr>
              <w:t>1,020,746</w:t>
            </w:r>
          </w:p>
        </w:tc>
      </w:tr>
      <w:tr>
        <w:trPr>
          <w:trHeight w:val="229"/>
        </w:trPr>
        <w:tc>
          <w:tcPr>
            <w:tcW w:w="2660" w:type="dxa"/>
            <w:vAlign w:val="bottom"/>
          </w:tcPr>
          <w:p>
            <w:pPr>
              <w:ind w:left="20"/>
              <w:spacing w:after="0"/>
              <w:rPr>
                <w:sz w:val="20"/>
                <w:szCs w:val="20"/>
                <w:color w:val="auto"/>
              </w:rPr>
            </w:pPr>
            <w:r>
              <w:rPr>
                <w:rFonts w:ascii="Arial" w:cs="Arial" w:eastAsia="Arial" w:hAnsi="Arial"/>
                <w:sz w:val="18"/>
                <w:szCs w:val="18"/>
                <w:color w:val="auto"/>
              </w:rPr>
              <w:t>William C. Goings</w:t>
            </w:r>
          </w:p>
        </w:tc>
        <w:tc>
          <w:tcPr>
            <w:tcW w:w="2480" w:type="dxa"/>
            <w:vAlign w:val="bottom"/>
          </w:tcPr>
          <w:p>
            <w:pPr>
              <w:jc w:val="center"/>
              <w:ind w:left="290"/>
              <w:spacing w:after="0"/>
              <w:rPr>
                <w:sz w:val="20"/>
                <w:szCs w:val="20"/>
                <w:color w:val="auto"/>
              </w:rPr>
            </w:pPr>
            <w:r>
              <w:rPr>
                <w:rFonts w:ascii="Arial" w:cs="Arial" w:eastAsia="Arial" w:hAnsi="Arial"/>
                <w:sz w:val="18"/>
                <w:szCs w:val="18"/>
                <w:color w:val="auto"/>
                <w:w w:val="99"/>
              </w:rPr>
              <w:t>16,654,942</w:t>
            </w:r>
          </w:p>
        </w:tc>
        <w:tc>
          <w:tcPr>
            <w:tcW w:w="1820" w:type="dxa"/>
            <w:vAlign w:val="bottom"/>
          </w:tcPr>
          <w:p>
            <w:pPr>
              <w:jc w:val="center"/>
              <w:ind w:left="50"/>
              <w:spacing w:after="0"/>
              <w:rPr>
                <w:sz w:val="20"/>
                <w:szCs w:val="20"/>
                <w:color w:val="auto"/>
              </w:rPr>
            </w:pPr>
            <w:r>
              <w:rPr>
                <w:rFonts w:ascii="Arial" w:cs="Arial" w:eastAsia="Arial" w:hAnsi="Arial"/>
                <w:sz w:val="18"/>
                <w:szCs w:val="18"/>
                <w:color w:val="auto"/>
                <w:w w:val="99"/>
              </w:rPr>
              <w:t>1,705,209</w:t>
            </w:r>
          </w:p>
        </w:tc>
        <w:tc>
          <w:tcPr>
            <w:tcW w:w="2220" w:type="dxa"/>
            <w:vAlign w:val="bottom"/>
          </w:tcPr>
          <w:p>
            <w:pPr>
              <w:jc w:val="center"/>
              <w:ind w:left="90"/>
              <w:spacing w:after="0"/>
              <w:rPr>
                <w:sz w:val="20"/>
                <w:szCs w:val="20"/>
                <w:color w:val="auto"/>
              </w:rPr>
            </w:pPr>
            <w:r>
              <w:rPr>
                <w:rFonts w:ascii="Arial" w:cs="Arial" w:eastAsia="Arial" w:hAnsi="Arial"/>
                <w:sz w:val="18"/>
                <w:szCs w:val="18"/>
                <w:color w:val="auto"/>
                <w:w w:val="99"/>
              </w:rPr>
              <w:t>1,020,746</w:t>
            </w:r>
          </w:p>
        </w:tc>
      </w:tr>
      <w:tr>
        <w:trPr>
          <w:trHeight w:val="229"/>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Ashwini (Ash) Gupta</w:t>
            </w:r>
          </w:p>
        </w:tc>
        <w:tc>
          <w:tcPr>
            <w:tcW w:w="248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9"/>
              </w:rPr>
              <w:t>18,153,822</w:t>
            </w:r>
          </w:p>
        </w:tc>
        <w:tc>
          <w:tcPr>
            <w:tcW w:w="18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8"/>
              </w:rPr>
              <w:t>206,329</w:t>
            </w:r>
          </w:p>
        </w:tc>
        <w:tc>
          <w:tcPr>
            <w:tcW w:w="222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9"/>
              </w:rPr>
              <w:t>1,020,746</w:t>
            </w:r>
          </w:p>
        </w:tc>
      </w:tr>
      <w:tr>
        <w:trPr>
          <w:trHeight w:val="230"/>
        </w:trPr>
        <w:tc>
          <w:tcPr>
            <w:tcW w:w="2660" w:type="dxa"/>
            <w:vAlign w:val="bottom"/>
          </w:tcPr>
          <w:p>
            <w:pPr>
              <w:ind w:left="20"/>
              <w:spacing w:after="0"/>
              <w:rPr>
                <w:sz w:val="20"/>
                <w:szCs w:val="20"/>
                <w:color w:val="auto"/>
              </w:rPr>
            </w:pPr>
            <w:r>
              <w:rPr>
                <w:rFonts w:ascii="Arial" w:cs="Arial" w:eastAsia="Arial" w:hAnsi="Arial"/>
                <w:sz w:val="18"/>
                <w:szCs w:val="18"/>
                <w:color w:val="auto"/>
              </w:rPr>
              <w:t>Jeffrey A. Hilzinger</w:t>
            </w:r>
          </w:p>
        </w:tc>
        <w:tc>
          <w:tcPr>
            <w:tcW w:w="2480" w:type="dxa"/>
            <w:vAlign w:val="bottom"/>
          </w:tcPr>
          <w:p>
            <w:pPr>
              <w:jc w:val="center"/>
              <w:ind w:left="290"/>
              <w:spacing w:after="0"/>
              <w:rPr>
                <w:sz w:val="20"/>
                <w:szCs w:val="20"/>
                <w:color w:val="auto"/>
              </w:rPr>
            </w:pPr>
            <w:r>
              <w:rPr>
                <w:rFonts w:ascii="Arial" w:cs="Arial" w:eastAsia="Arial" w:hAnsi="Arial"/>
                <w:sz w:val="18"/>
                <w:szCs w:val="18"/>
                <w:color w:val="auto"/>
                <w:w w:val="99"/>
              </w:rPr>
              <w:t>17,847,500</w:t>
            </w:r>
          </w:p>
        </w:tc>
        <w:tc>
          <w:tcPr>
            <w:tcW w:w="1820" w:type="dxa"/>
            <w:vAlign w:val="bottom"/>
          </w:tcPr>
          <w:p>
            <w:pPr>
              <w:jc w:val="center"/>
              <w:ind w:left="50"/>
              <w:spacing w:after="0"/>
              <w:rPr>
                <w:sz w:val="20"/>
                <w:szCs w:val="20"/>
                <w:color w:val="auto"/>
              </w:rPr>
            </w:pPr>
            <w:r>
              <w:rPr>
                <w:rFonts w:ascii="Arial" w:cs="Arial" w:eastAsia="Arial" w:hAnsi="Arial"/>
                <w:sz w:val="18"/>
                <w:szCs w:val="18"/>
                <w:color w:val="auto"/>
                <w:w w:val="98"/>
              </w:rPr>
              <w:t>512,651</w:t>
            </w:r>
          </w:p>
        </w:tc>
        <w:tc>
          <w:tcPr>
            <w:tcW w:w="2220" w:type="dxa"/>
            <w:vAlign w:val="bottom"/>
          </w:tcPr>
          <w:p>
            <w:pPr>
              <w:jc w:val="center"/>
              <w:ind w:left="90"/>
              <w:spacing w:after="0"/>
              <w:rPr>
                <w:sz w:val="20"/>
                <w:szCs w:val="20"/>
                <w:color w:val="auto"/>
              </w:rPr>
            </w:pPr>
            <w:r>
              <w:rPr>
                <w:rFonts w:ascii="Arial" w:cs="Arial" w:eastAsia="Arial" w:hAnsi="Arial"/>
                <w:sz w:val="18"/>
                <w:szCs w:val="18"/>
                <w:color w:val="auto"/>
                <w:w w:val="99"/>
              </w:rPr>
              <w:t>1,020,746</w:t>
            </w:r>
          </w:p>
        </w:tc>
      </w:tr>
      <w:tr>
        <w:trPr>
          <w:trHeight w:val="229"/>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Angela A. Knight</w:t>
            </w:r>
          </w:p>
        </w:tc>
        <w:tc>
          <w:tcPr>
            <w:tcW w:w="248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9"/>
              </w:rPr>
              <w:t>18,002,444</w:t>
            </w:r>
          </w:p>
        </w:tc>
        <w:tc>
          <w:tcPr>
            <w:tcW w:w="18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8"/>
              </w:rPr>
              <w:t>357,707</w:t>
            </w:r>
          </w:p>
        </w:tc>
        <w:tc>
          <w:tcPr>
            <w:tcW w:w="222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9"/>
              </w:rPr>
              <w:t>1,020,746</w:t>
            </w:r>
          </w:p>
        </w:tc>
      </w:tr>
      <w:tr>
        <w:trPr>
          <w:trHeight w:val="229"/>
        </w:trPr>
        <w:tc>
          <w:tcPr>
            <w:tcW w:w="2660" w:type="dxa"/>
            <w:vAlign w:val="bottom"/>
          </w:tcPr>
          <w:p>
            <w:pPr>
              <w:ind w:left="20"/>
              <w:spacing w:after="0"/>
              <w:rPr>
                <w:sz w:val="20"/>
                <w:szCs w:val="20"/>
                <w:color w:val="auto"/>
              </w:rPr>
            </w:pPr>
            <w:r>
              <w:rPr>
                <w:rFonts w:ascii="Arial" w:cs="Arial" w:eastAsia="Arial" w:hAnsi="Arial"/>
                <w:sz w:val="18"/>
                <w:szCs w:val="18"/>
                <w:color w:val="auto"/>
              </w:rPr>
              <w:t>Laura Newman Olle</w:t>
            </w:r>
          </w:p>
        </w:tc>
        <w:tc>
          <w:tcPr>
            <w:tcW w:w="2480" w:type="dxa"/>
            <w:vAlign w:val="bottom"/>
          </w:tcPr>
          <w:p>
            <w:pPr>
              <w:jc w:val="center"/>
              <w:ind w:left="290"/>
              <w:spacing w:after="0"/>
              <w:rPr>
                <w:sz w:val="20"/>
                <w:szCs w:val="20"/>
                <w:color w:val="auto"/>
              </w:rPr>
            </w:pPr>
            <w:r>
              <w:rPr>
                <w:rFonts w:ascii="Arial" w:cs="Arial" w:eastAsia="Arial" w:hAnsi="Arial"/>
                <w:sz w:val="18"/>
                <w:szCs w:val="18"/>
                <w:color w:val="auto"/>
                <w:w w:val="99"/>
              </w:rPr>
              <w:t>18,013,725</w:t>
            </w:r>
          </w:p>
        </w:tc>
        <w:tc>
          <w:tcPr>
            <w:tcW w:w="1820" w:type="dxa"/>
            <w:vAlign w:val="bottom"/>
          </w:tcPr>
          <w:p>
            <w:pPr>
              <w:jc w:val="center"/>
              <w:ind w:left="50"/>
              <w:spacing w:after="0"/>
              <w:rPr>
                <w:sz w:val="20"/>
                <w:szCs w:val="20"/>
                <w:color w:val="auto"/>
              </w:rPr>
            </w:pPr>
            <w:r>
              <w:rPr>
                <w:rFonts w:ascii="Arial" w:cs="Arial" w:eastAsia="Arial" w:hAnsi="Arial"/>
                <w:sz w:val="18"/>
                <w:szCs w:val="18"/>
                <w:color w:val="auto"/>
                <w:w w:val="98"/>
              </w:rPr>
              <w:t>346,426</w:t>
            </w:r>
          </w:p>
        </w:tc>
        <w:tc>
          <w:tcPr>
            <w:tcW w:w="2220" w:type="dxa"/>
            <w:vAlign w:val="bottom"/>
          </w:tcPr>
          <w:p>
            <w:pPr>
              <w:jc w:val="center"/>
              <w:ind w:left="90"/>
              <w:spacing w:after="0"/>
              <w:rPr>
                <w:sz w:val="20"/>
                <w:szCs w:val="20"/>
                <w:color w:val="auto"/>
              </w:rPr>
            </w:pPr>
            <w:r>
              <w:rPr>
                <w:rFonts w:ascii="Arial" w:cs="Arial" w:eastAsia="Arial" w:hAnsi="Arial"/>
                <w:sz w:val="18"/>
                <w:szCs w:val="18"/>
                <w:color w:val="auto"/>
                <w:w w:val="99"/>
              </w:rPr>
              <w:t>1,020,746</w:t>
            </w:r>
          </w:p>
        </w:tc>
      </w:tr>
      <w:tr>
        <w:trPr>
          <w:trHeight w:val="230"/>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Richard P. Stovsky</w:t>
            </w:r>
          </w:p>
        </w:tc>
        <w:tc>
          <w:tcPr>
            <w:tcW w:w="248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9"/>
              </w:rPr>
              <w:t>18,287,014</w:t>
            </w:r>
          </w:p>
        </w:tc>
        <w:tc>
          <w:tcPr>
            <w:tcW w:w="18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rPr>
              <w:t>73,137</w:t>
            </w:r>
          </w:p>
        </w:tc>
        <w:tc>
          <w:tcPr>
            <w:tcW w:w="222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9"/>
              </w:rPr>
              <w:t>1,020,746</w:t>
            </w:r>
          </w:p>
        </w:tc>
      </w:tr>
      <w:tr>
        <w:trPr>
          <w:trHeight w:val="239"/>
        </w:trPr>
        <w:tc>
          <w:tcPr>
            <w:tcW w:w="2660" w:type="dxa"/>
            <w:vAlign w:val="bottom"/>
          </w:tcPr>
          <w:p>
            <w:pPr>
              <w:ind w:left="20"/>
              <w:spacing w:after="0"/>
              <w:rPr>
                <w:sz w:val="20"/>
                <w:szCs w:val="20"/>
                <w:color w:val="auto"/>
              </w:rPr>
            </w:pPr>
            <w:r>
              <w:rPr>
                <w:rFonts w:ascii="Arial" w:cs="Arial" w:eastAsia="Arial" w:hAnsi="Arial"/>
                <w:sz w:val="18"/>
                <w:szCs w:val="18"/>
                <w:color w:val="auto"/>
              </w:rPr>
              <w:t>Ashish Masih</w:t>
            </w:r>
          </w:p>
        </w:tc>
        <w:tc>
          <w:tcPr>
            <w:tcW w:w="2480" w:type="dxa"/>
            <w:vAlign w:val="bottom"/>
          </w:tcPr>
          <w:p>
            <w:pPr>
              <w:jc w:val="center"/>
              <w:ind w:left="290"/>
              <w:spacing w:after="0"/>
              <w:rPr>
                <w:sz w:val="20"/>
                <w:szCs w:val="20"/>
                <w:color w:val="auto"/>
              </w:rPr>
            </w:pPr>
            <w:r>
              <w:rPr>
                <w:rFonts w:ascii="Arial" w:cs="Arial" w:eastAsia="Arial" w:hAnsi="Arial"/>
                <w:sz w:val="18"/>
                <w:szCs w:val="18"/>
                <w:color w:val="auto"/>
                <w:w w:val="99"/>
              </w:rPr>
              <w:t>18,248,642</w:t>
            </w:r>
          </w:p>
        </w:tc>
        <w:tc>
          <w:tcPr>
            <w:tcW w:w="1820" w:type="dxa"/>
            <w:vAlign w:val="bottom"/>
          </w:tcPr>
          <w:p>
            <w:pPr>
              <w:jc w:val="center"/>
              <w:ind w:left="70"/>
              <w:spacing w:after="0"/>
              <w:rPr>
                <w:sz w:val="20"/>
                <w:szCs w:val="20"/>
                <w:color w:val="auto"/>
              </w:rPr>
            </w:pPr>
            <w:r>
              <w:rPr>
                <w:rFonts w:ascii="Arial" w:cs="Arial" w:eastAsia="Arial" w:hAnsi="Arial"/>
                <w:sz w:val="18"/>
                <w:szCs w:val="18"/>
                <w:color w:val="auto"/>
                <w:w w:val="95"/>
              </w:rPr>
              <w:t>111,509</w:t>
            </w:r>
          </w:p>
        </w:tc>
        <w:tc>
          <w:tcPr>
            <w:tcW w:w="2220" w:type="dxa"/>
            <w:vAlign w:val="bottom"/>
          </w:tcPr>
          <w:p>
            <w:pPr>
              <w:jc w:val="center"/>
              <w:ind w:left="90"/>
              <w:spacing w:after="0"/>
              <w:rPr>
                <w:sz w:val="20"/>
                <w:szCs w:val="20"/>
                <w:color w:val="auto"/>
              </w:rPr>
            </w:pPr>
            <w:r>
              <w:rPr>
                <w:rFonts w:ascii="Arial" w:cs="Arial" w:eastAsia="Arial" w:hAnsi="Arial"/>
                <w:sz w:val="18"/>
                <w:szCs w:val="18"/>
                <w:color w:val="auto"/>
                <w:w w:val="99"/>
              </w:rPr>
              <w:t>1,020,746</w:t>
            </w:r>
          </w:p>
        </w:tc>
      </w:tr>
    </w:tbl>
    <w:p>
      <w:pPr>
        <w:spacing w:after="0" w:line="282"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8"/>
          <w:szCs w:val="18"/>
          <w:color w:val="auto"/>
        </w:rPr>
        <w:t>The second proposal was a non-binding vote to approve the compensation of the Company’s named executive officers. In a non-binding vote, the compensation of the Company’s named executive officers was approved, with the following votes tabulated: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300" w:type="dxa"/>
            <w:vAlign w:val="bottom"/>
          </w:tcPr>
          <w:p>
            <w:pPr>
              <w:jc w:val="center"/>
              <w:spacing w:after="0"/>
              <w:rPr>
                <w:sz w:val="20"/>
                <w:szCs w:val="20"/>
                <w:color w:val="auto"/>
              </w:rPr>
            </w:pPr>
            <w:r>
              <w:rPr>
                <w:rFonts w:ascii="Arial" w:cs="Arial" w:eastAsia="Arial" w:hAnsi="Arial"/>
                <w:sz w:val="18"/>
                <w:szCs w:val="18"/>
                <w:b w:val="1"/>
                <w:bCs w:val="1"/>
                <w:color w:val="auto"/>
              </w:rPr>
              <w:t>For</w:t>
            </w:r>
          </w:p>
        </w:tc>
        <w:tc>
          <w:tcPr>
            <w:tcW w:w="2180" w:type="dxa"/>
            <w:vAlign w:val="bottom"/>
          </w:tcPr>
          <w:p>
            <w:pPr>
              <w:ind w:left="740"/>
              <w:spacing w:after="0"/>
              <w:rPr>
                <w:sz w:val="20"/>
                <w:szCs w:val="20"/>
                <w:color w:val="auto"/>
              </w:rPr>
            </w:pPr>
            <w:r>
              <w:rPr>
                <w:rFonts w:ascii="Arial" w:cs="Arial" w:eastAsia="Arial" w:hAnsi="Arial"/>
                <w:sz w:val="18"/>
                <w:szCs w:val="18"/>
                <w:b w:val="1"/>
                <w:bCs w:val="1"/>
                <w:color w:val="auto"/>
              </w:rPr>
              <w:t>Against</w:t>
            </w:r>
          </w:p>
        </w:tc>
        <w:tc>
          <w:tcPr>
            <w:tcW w:w="2040" w:type="dxa"/>
            <w:vAlign w:val="bottom"/>
          </w:tcPr>
          <w:p>
            <w:pPr>
              <w:jc w:val="center"/>
              <w:ind w:left="90"/>
              <w:spacing w:after="0"/>
              <w:rPr>
                <w:sz w:val="20"/>
                <w:szCs w:val="20"/>
                <w:color w:val="auto"/>
              </w:rPr>
            </w:pPr>
            <w:r>
              <w:rPr>
                <w:rFonts w:ascii="Arial" w:cs="Arial" w:eastAsia="Arial" w:hAnsi="Arial"/>
                <w:sz w:val="18"/>
                <w:szCs w:val="18"/>
                <w:b w:val="1"/>
                <w:bCs w:val="1"/>
                <w:color w:val="auto"/>
                <w:w w:val="99"/>
              </w:rPr>
              <w:t>Abstain</w:t>
            </w:r>
          </w:p>
        </w:tc>
        <w:tc>
          <w:tcPr>
            <w:tcW w:w="2420" w:type="dxa"/>
            <w:vAlign w:val="bottom"/>
          </w:tcPr>
          <w:p>
            <w:pPr>
              <w:jc w:val="center"/>
              <w:ind w:left="70"/>
              <w:spacing w:after="0"/>
              <w:rPr>
                <w:sz w:val="20"/>
                <w:szCs w:val="20"/>
                <w:color w:val="auto"/>
              </w:rPr>
            </w:pPr>
            <w:r>
              <w:rPr>
                <w:rFonts w:ascii="Arial" w:cs="Arial" w:eastAsia="Arial" w:hAnsi="Arial"/>
                <w:sz w:val="18"/>
                <w:szCs w:val="18"/>
                <w:b w:val="1"/>
                <w:bCs w:val="1"/>
                <w:color w:val="auto"/>
                <w:w w:val="99"/>
              </w:rPr>
              <w:t>Broker Non-Vote</w:t>
            </w:r>
          </w:p>
        </w:tc>
      </w:tr>
      <w:tr>
        <w:trPr>
          <w:trHeight w:val="229"/>
        </w:trPr>
        <w:tc>
          <w:tcPr>
            <w:tcW w:w="230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17,997,698</w:t>
            </w:r>
          </w:p>
        </w:tc>
        <w:tc>
          <w:tcPr>
            <w:tcW w:w="21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313,483</w:t>
            </w:r>
          </w:p>
        </w:tc>
        <w:tc>
          <w:tcPr>
            <w:tcW w:w="20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48,970</w:t>
            </w:r>
          </w:p>
        </w:tc>
        <w:tc>
          <w:tcPr>
            <w:tcW w:w="24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1,020,746</w:t>
            </w:r>
          </w:p>
        </w:tc>
      </w:tr>
    </w:tbl>
    <w:p>
      <w:pPr>
        <w:spacing w:after="0" w:line="292"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The third proposal was the ratification of the appointment of BDO USA, P.C. as the Company’s independent registered public accounting firm for the fiscal year ending December 31, 2026. The appointment of BDO USA, P.C. as the Company’s independent registered public accounting firm for the fiscal year ending December 31, 2026 was ratified, with the following votes tabulated: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300" w:type="dxa"/>
            <w:vAlign w:val="bottom"/>
          </w:tcPr>
          <w:p>
            <w:pPr>
              <w:jc w:val="center"/>
              <w:spacing w:after="0"/>
              <w:rPr>
                <w:sz w:val="20"/>
                <w:szCs w:val="20"/>
                <w:color w:val="auto"/>
              </w:rPr>
            </w:pPr>
            <w:r>
              <w:rPr>
                <w:rFonts w:ascii="Arial" w:cs="Arial" w:eastAsia="Arial" w:hAnsi="Arial"/>
                <w:sz w:val="18"/>
                <w:szCs w:val="18"/>
                <w:b w:val="1"/>
                <w:bCs w:val="1"/>
                <w:color w:val="auto"/>
              </w:rPr>
              <w:t>For</w:t>
            </w:r>
          </w:p>
        </w:tc>
        <w:tc>
          <w:tcPr>
            <w:tcW w:w="2180" w:type="dxa"/>
            <w:vAlign w:val="bottom"/>
          </w:tcPr>
          <w:p>
            <w:pPr>
              <w:ind w:left="740"/>
              <w:spacing w:after="0"/>
              <w:rPr>
                <w:sz w:val="20"/>
                <w:szCs w:val="20"/>
                <w:color w:val="auto"/>
              </w:rPr>
            </w:pPr>
            <w:r>
              <w:rPr>
                <w:rFonts w:ascii="Arial" w:cs="Arial" w:eastAsia="Arial" w:hAnsi="Arial"/>
                <w:sz w:val="18"/>
                <w:szCs w:val="18"/>
                <w:b w:val="1"/>
                <w:bCs w:val="1"/>
                <w:color w:val="auto"/>
              </w:rPr>
              <w:t>Against</w:t>
            </w:r>
          </w:p>
        </w:tc>
        <w:tc>
          <w:tcPr>
            <w:tcW w:w="2040" w:type="dxa"/>
            <w:vAlign w:val="bottom"/>
          </w:tcPr>
          <w:p>
            <w:pPr>
              <w:jc w:val="center"/>
              <w:ind w:left="90"/>
              <w:spacing w:after="0"/>
              <w:rPr>
                <w:sz w:val="20"/>
                <w:szCs w:val="20"/>
                <w:color w:val="auto"/>
              </w:rPr>
            </w:pPr>
            <w:r>
              <w:rPr>
                <w:rFonts w:ascii="Arial" w:cs="Arial" w:eastAsia="Arial" w:hAnsi="Arial"/>
                <w:sz w:val="18"/>
                <w:szCs w:val="18"/>
                <w:b w:val="1"/>
                <w:bCs w:val="1"/>
                <w:color w:val="auto"/>
                <w:w w:val="99"/>
              </w:rPr>
              <w:t>Abstain</w:t>
            </w:r>
          </w:p>
        </w:tc>
        <w:tc>
          <w:tcPr>
            <w:tcW w:w="2420" w:type="dxa"/>
            <w:vAlign w:val="bottom"/>
          </w:tcPr>
          <w:p>
            <w:pPr>
              <w:jc w:val="center"/>
              <w:ind w:left="70"/>
              <w:spacing w:after="0"/>
              <w:rPr>
                <w:sz w:val="20"/>
                <w:szCs w:val="20"/>
                <w:color w:val="auto"/>
              </w:rPr>
            </w:pPr>
            <w:r>
              <w:rPr>
                <w:rFonts w:ascii="Arial" w:cs="Arial" w:eastAsia="Arial" w:hAnsi="Arial"/>
                <w:sz w:val="18"/>
                <w:szCs w:val="18"/>
                <w:b w:val="1"/>
                <w:bCs w:val="1"/>
                <w:color w:val="auto"/>
                <w:w w:val="99"/>
              </w:rPr>
              <w:t>Broker Non-Vote</w:t>
            </w:r>
          </w:p>
        </w:tc>
      </w:tr>
      <w:tr>
        <w:trPr>
          <w:trHeight w:val="230"/>
        </w:trPr>
        <w:tc>
          <w:tcPr>
            <w:tcW w:w="230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18,999,367</w:t>
            </w:r>
          </w:p>
        </w:tc>
        <w:tc>
          <w:tcPr>
            <w:tcW w:w="21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369,506</w:t>
            </w:r>
          </w:p>
        </w:tc>
        <w:tc>
          <w:tcPr>
            <w:tcW w:w="20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12,024</w:t>
            </w:r>
          </w:p>
        </w:tc>
        <w:tc>
          <w:tcPr>
            <w:tcW w:w="242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9"/>
              </w:rPr>
              <w:t>—</w:t>
            </w:r>
          </w:p>
        </w:tc>
      </w:tr>
    </w:tbl>
    <w:p>
      <w:pPr>
        <w:spacing w:after="0" w:line="23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fourth proposal was to approve the Amended and Restated Encore Capital Group, Inc. 2017 Incentive Award Plan. The Amended and Restated Encore Capital Group, Inc. 2017 Incentive Award Plan was approved, with the following votes tabulated: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280" w:type="dxa"/>
            <w:vAlign w:val="bottom"/>
          </w:tcPr>
          <w:p>
            <w:pPr>
              <w:jc w:val="center"/>
              <w:spacing w:after="0"/>
              <w:rPr>
                <w:sz w:val="20"/>
                <w:szCs w:val="20"/>
                <w:color w:val="auto"/>
              </w:rPr>
            </w:pPr>
            <w:r>
              <w:rPr>
                <w:rFonts w:ascii="Arial" w:cs="Arial" w:eastAsia="Arial" w:hAnsi="Arial"/>
                <w:sz w:val="18"/>
                <w:szCs w:val="18"/>
                <w:b w:val="1"/>
                <w:bCs w:val="1"/>
                <w:color w:val="auto"/>
              </w:rPr>
              <w:t>For</w:t>
            </w: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9"/>
              </w:rPr>
              <w:t>Against</w:t>
            </w:r>
          </w:p>
        </w:tc>
        <w:tc>
          <w:tcPr>
            <w:tcW w:w="2000" w:type="dxa"/>
            <w:vAlign w:val="bottom"/>
          </w:tcPr>
          <w:p>
            <w:pPr>
              <w:jc w:val="center"/>
              <w:ind w:left="50"/>
              <w:spacing w:after="0"/>
              <w:rPr>
                <w:sz w:val="20"/>
                <w:szCs w:val="20"/>
                <w:color w:val="auto"/>
              </w:rPr>
            </w:pPr>
            <w:r>
              <w:rPr>
                <w:rFonts w:ascii="Arial" w:cs="Arial" w:eastAsia="Arial" w:hAnsi="Arial"/>
                <w:sz w:val="18"/>
                <w:szCs w:val="18"/>
                <w:b w:val="1"/>
                <w:bCs w:val="1"/>
                <w:color w:val="auto"/>
                <w:w w:val="99"/>
              </w:rPr>
              <w:t>Abstain</w:t>
            </w:r>
          </w:p>
        </w:tc>
        <w:tc>
          <w:tcPr>
            <w:tcW w:w="2420" w:type="dxa"/>
            <w:vAlign w:val="bottom"/>
          </w:tcPr>
          <w:p>
            <w:pPr>
              <w:jc w:val="center"/>
              <w:ind w:left="70"/>
              <w:spacing w:after="0"/>
              <w:rPr>
                <w:sz w:val="20"/>
                <w:szCs w:val="20"/>
                <w:color w:val="auto"/>
              </w:rPr>
            </w:pPr>
            <w:r>
              <w:rPr>
                <w:rFonts w:ascii="Arial" w:cs="Arial" w:eastAsia="Arial" w:hAnsi="Arial"/>
                <w:sz w:val="18"/>
                <w:szCs w:val="18"/>
                <w:b w:val="1"/>
                <w:bCs w:val="1"/>
                <w:color w:val="auto"/>
                <w:w w:val="99"/>
              </w:rPr>
              <w:t>Broker Non-Vote</w:t>
            </w:r>
          </w:p>
        </w:tc>
      </w:tr>
      <w:tr>
        <w:trPr>
          <w:trHeight w:val="230"/>
        </w:trPr>
        <w:tc>
          <w:tcPr>
            <w:tcW w:w="228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17,191,591</w:t>
            </w:r>
          </w:p>
        </w:tc>
        <w:tc>
          <w:tcPr>
            <w:tcW w:w="224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1,159,793</w:t>
            </w:r>
          </w:p>
        </w:tc>
        <w:tc>
          <w:tcPr>
            <w:tcW w:w="20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8,767</w:t>
            </w:r>
          </w:p>
        </w:tc>
        <w:tc>
          <w:tcPr>
            <w:tcW w:w="24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1,020,746</w:t>
            </w:r>
          </w:p>
        </w:tc>
      </w:tr>
    </w:tbl>
    <w:p>
      <w:pPr>
        <w:spacing w:after="0" w:line="23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fifth proposal was to approve and adopt an amendment to the Company’s Amended and Restated Certificate of Incorporation to provide for exculpation of officers. The amendment to the Company’s Amended and Restated Certificate of Incorporation to provide for exculpation of officers was approved, with the following votes tabulated: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280" w:type="dxa"/>
            <w:vAlign w:val="bottom"/>
          </w:tcPr>
          <w:p>
            <w:pPr>
              <w:jc w:val="center"/>
              <w:spacing w:after="0"/>
              <w:rPr>
                <w:sz w:val="20"/>
                <w:szCs w:val="20"/>
                <w:color w:val="auto"/>
              </w:rPr>
            </w:pPr>
            <w:r>
              <w:rPr>
                <w:rFonts w:ascii="Arial" w:cs="Arial" w:eastAsia="Arial" w:hAnsi="Arial"/>
                <w:sz w:val="18"/>
                <w:szCs w:val="18"/>
                <w:b w:val="1"/>
                <w:bCs w:val="1"/>
                <w:color w:val="auto"/>
              </w:rPr>
              <w:t>For</w:t>
            </w: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9"/>
              </w:rPr>
              <w:t>Against</w:t>
            </w:r>
          </w:p>
        </w:tc>
        <w:tc>
          <w:tcPr>
            <w:tcW w:w="2000" w:type="dxa"/>
            <w:vAlign w:val="bottom"/>
          </w:tcPr>
          <w:p>
            <w:pPr>
              <w:jc w:val="center"/>
              <w:ind w:left="50"/>
              <w:spacing w:after="0"/>
              <w:rPr>
                <w:sz w:val="20"/>
                <w:szCs w:val="20"/>
                <w:color w:val="auto"/>
              </w:rPr>
            </w:pPr>
            <w:r>
              <w:rPr>
                <w:rFonts w:ascii="Arial" w:cs="Arial" w:eastAsia="Arial" w:hAnsi="Arial"/>
                <w:sz w:val="18"/>
                <w:szCs w:val="18"/>
                <w:b w:val="1"/>
                <w:bCs w:val="1"/>
                <w:color w:val="auto"/>
                <w:w w:val="99"/>
              </w:rPr>
              <w:t>Abstain</w:t>
            </w:r>
          </w:p>
        </w:tc>
        <w:tc>
          <w:tcPr>
            <w:tcW w:w="2420" w:type="dxa"/>
            <w:vAlign w:val="bottom"/>
          </w:tcPr>
          <w:p>
            <w:pPr>
              <w:jc w:val="center"/>
              <w:ind w:left="70"/>
              <w:spacing w:after="0"/>
              <w:rPr>
                <w:sz w:val="20"/>
                <w:szCs w:val="20"/>
                <w:color w:val="auto"/>
              </w:rPr>
            </w:pPr>
            <w:r>
              <w:rPr>
                <w:rFonts w:ascii="Arial" w:cs="Arial" w:eastAsia="Arial" w:hAnsi="Arial"/>
                <w:sz w:val="18"/>
                <w:szCs w:val="18"/>
                <w:b w:val="1"/>
                <w:bCs w:val="1"/>
                <w:color w:val="auto"/>
                <w:w w:val="99"/>
              </w:rPr>
              <w:t>Broker Non-Vote</w:t>
            </w:r>
          </w:p>
        </w:tc>
      </w:tr>
      <w:tr>
        <w:trPr>
          <w:trHeight w:val="229"/>
        </w:trPr>
        <w:tc>
          <w:tcPr>
            <w:tcW w:w="228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16,593,440</w:t>
            </w:r>
          </w:p>
        </w:tc>
        <w:tc>
          <w:tcPr>
            <w:tcW w:w="224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1,758,739</w:t>
            </w:r>
          </w:p>
        </w:tc>
        <w:tc>
          <w:tcPr>
            <w:tcW w:w="20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7,972</w:t>
            </w:r>
          </w:p>
        </w:tc>
        <w:tc>
          <w:tcPr>
            <w:tcW w:w="24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1,020,746</w:t>
            </w:r>
          </w:p>
        </w:tc>
      </w:tr>
    </w:tbl>
    <w:p>
      <w:pPr>
        <w:spacing w:after="0" w:line="292"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color w:val="auto"/>
        </w:rPr>
        <w:t>The sixth proposal was to recommend, in a non-binding vote, the frequency of future non-binding stockholder votes to approve the compensation of the Company’s named executive officers. In a 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962025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19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binding vote, the Company’s stockholders recommended a non-binding vote to approve the compensation of the Company’s named executive officers every year, with the following votes tabulated: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8"/>
              </w:rPr>
              <w:t>One Year</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7"/>
              </w:rPr>
              <w:t>Two Years</w:t>
            </w:r>
          </w:p>
        </w:tc>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98"/>
              </w:rPr>
              <w:t>Three Years</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9"/>
              </w:rPr>
              <w:t>Abstain</w:t>
            </w:r>
          </w:p>
        </w:tc>
        <w:tc>
          <w:tcPr>
            <w:tcW w:w="2440" w:type="dxa"/>
            <w:vAlign w:val="bottom"/>
          </w:tcPr>
          <w:p>
            <w:pPr>
              <w:jc w:val="center"/>
              <w:ind w:left="110"/>
              <w:spacing w:after="0"/>
              <w:rPr>
                <w:sz w:val="20"/>
                <w:szCs w:val="20"/>
                <w:color w:val="auto"/>
              </w:rPr>
            </w:pPr>
            <w:r>
              <w:rPr>
                <w:rFonts w:ascii="Arial" w:cs="Arial" w:eastAsia="Arial" w:hAnsi="Arial"/>
                <w:sz w:val="18"/>
                <w:szCs w:val="18"/>
                <w:b w:val="1"/>
                <w:bCs w:val="1"/>
                <w:color w:val="auto"/>
                <w:w w:val="97"/>
              </w:rPr>
              <w:t>Broker Non-Vote</w:t>
            </w:r>
          </w:p>
        </w:tc>
      </w:tr>
      <w:tr>
        <w:trPr>
          <w:trHeight w:val="229"/>
        </w:trPr>
        <w:tc>
          <w:tcPr>
            <w:tcW w:w="224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17,429,161</w:t>
            </w:r>
          </w:p>
        </w:tc>
        <w:tc>
          <w:tcPr>
            <w:tcW w:w="218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12,878</w:t>
            </w:r>
          </w:p>
        </w:tc>
        <w:tc>
          <w:tcPr>
            <w:tcW w:w="236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908,853</w:t>
            </w:r>
          </w:p>
        </w:tc>
        <w:tc>
          <w:tcPr>
            <w:tcW w:w="194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9,259</w:t>
            </w:r>
          </w:p>
        </w:tc>
        <w:tc>
          <w:tcPr>
            <w:tcW w:w="24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1,020,746</w:t>
            </w:r>
          </w:p>
        </w:tc>
      </w:tr>
    </w:tbl>
    <w:p>
      <w:pPr>
        <w:spacing w:after="0" w:line="29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Company’s Board of Directors has determined that it will include a non-binding vote to approve the compensation of the Company’s named executive officers in its proxy materials every year until the next non-binding vote to approve the frequency of such vote, which will occur no later than the Company’s 2032 annual meeting of stockholders.</w:t>
      </w:r>
    </w:p>
    <w:p>
      <w:pPr>
        <w:spacing w:after="0" w:line="17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9.01.</w:t>
        <w:tab/>
        <w:t>Financial Statements and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340" w:type="dxa"/>
            <w:vAlign w:val="bottom"/>
            <w:gridSpan w:val="4"/>
          </w:tcPr>
          <w:p>
            <w:pPr>
              <w:spacing w:after="0"/>
              <w:rPr>
                <w:sz w:val="20"/>
                <w:szCs w:val="20"/>
                <w:color w:val="auto"/>
              </w:rPr>
            </w:pPr>
            <w:r>
              <w:rPr>
                <w:rFonts w:ascii="Arial" w:cs="Arial" w:eastAsia="Arial" w:hAnsi="Arial"/>
                <w:sz w:val="18"/>
                <w:szCs w:val="18"/>
                <w:b w:val="1"/>
                <w:bCs w:val="1"/>
                <w:color w:val="auto"/>
                <w:w w:val="99"/>
              </w:rPr>
              <w:t>Exhibit Number</w:t>
            </w:r>
          </w:p>
        </w:tc>
        <w:tc>
          <w:tcPr>
            <w:tcW w:w="340" w:type="dxa"/>
            <w:vAlign w:val="bottom"/>
          </w:tcPr>
          <w:p>
            <w:pPr>
              <w:spacing w:after="0"/>
              <w:rPr>
                <w:sz w:val="17"/>
                <w:szCs w:val="17"/>
                <w:color w:val="auto"/>
              </w:rPr>
            </w:pPr>
          </w:p>
        </w:tc>
        <w:tc>
          <w:tcPr>
            <w:tcW w:w="9540" w:type="dxa"/>
            <w:vAlign w:val="bottom"/>
            <w:gridSpan w:val="3"/>
          </w:tcPr>
          <w:p>
            <w:pPr>
              <w:ind w:left="34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5"/>
              </w:rPr>
              <w:t>3.</w:t>
            </w:r>
            <w:r>
              <w:rPr>
                <w:rFonts w:ascii="Arial" w:cs="Arial" w:eastAsia="Arial" w:hAnsi="Arial"/>
                <w:sz w:val="18"/>
                <w:szCs w:val="18"/>
                <w:u w:val="single" w:color="auto"/>
                <w:color w:val="0000FF"/>
                <w:w w:val="95"/>
              </w:rPr>
              <w:t>1</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540" w:type="dxa"/>
            <w:vAlign w:val="bottom"/>
            <w:gridSpan w:val="3"/>
          </w:tcPr>
          <w:p>
            <w:pPr>
              <w:ind w:left="340"/>
              <w:spacing w:after="0"/>
              <w:rPr>
                <w:sz w:val="20"/>
                <w:szCs w:val="20"/>
                <w:color w:val="auto"/>
              </w:rPr>
            </w:pPr>
            <w:r>
              <w:rPr>
                <w:rFonts w:ascii="Arial" w:cs="Arial" w:eastAsia="Arial" w:hAnsi="Arial"/>
                <w:sz w:val="18"/>
                <w:szCs w:val="18"/>
                <w:color w:val="auto"/>
              </w:rPr>
              <w:t>Third Certificate of Amendment of Certificate of Incorporation of Encore Capital Group, Inc.</w:t>
            </w:r>
          </w:p>
        </w:tc>
      </w:tr>
      <w:tr>
        <w:trPr>
          <w:trHeight w:val="209"/>
        </w:trPr>
        <w:tc>
          <w:tcPr>
            <w:tcW w:w="100" w:type="dxa"/>
            <w:vAlign w:val="bottom"/>
            <w:gridSpan w:val="2"/>
          </w:tcPr>
          <w:p>
            <w:pPr>
              <w:spacing w:after="0"/>
              <w:rPr>
                <w:sz w:val="18"/>
                <w:szCs w:val="18"/>
                <w:color w:val="auto"/>
              </w:rPr>
            </w:pPr>
          </w:p>
        </w:tc>
        <w:tc>
          <w:tcPr>
            <w:tcW w:w="36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1</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540" w:type="dxa"/>
            <w:vAlign w:val="bottom"/>
            <w:gridSpan w:val="3"/>
          </w:tcPr>
          <w:p>
            <w:pPr>
              <w:ind w:left="340"/>
              <w:spacing w:after="0"/>
              <w:rPr>
                <w:sz w:val="20"/>
                <w:szCs w:val="20"/>
                <w:color w:val="auto"/>
              </w:rPr>
            </w:pPr>
            <w:r>
              <w:rPr>
                <w:rFonts w:ascii="Arial" w:cs="Arial" w:eastAsia="Arial" w:hAnsi="Arial"/>
                <w:sz w:val="18"/>
                <w:szCs w:val="18"/>
                <w:color w:val="auto"/>
              </w:rPr>
              <w:t>Amended and Restated Encore Capital Group, Inc. 2017 Incentive Award Plan</w:t>
            </w:r>
          </w:p>
        </w:tc>
      </w:tr>
      <w:tr>
        <w:trPr>
          <w:trHeight w:val="254"/>
        </w:trPr>
        <w:tc>
          <w:tcPr>
            <w:tcW w:w="460" w:type="dxa"/>
            <w:vAlign w:val="bottom"/>
            <w:gridSpan w:val="4"/>
          </w:tcPr>
          <w:p>
            <w:pPr>
              <w:ind w:left="100"/>
              <w:spacing w:after="0"/>
              <w:rPr>
                <w:sz w:val="20"/>
                <w:szCs w:val="20"/>
                <w:color w:val="auto"/>
              </w:rPr>
            </w:pPr>
            <w:r>
              <w:rPr>
                <w:rFonts w:ascii="Arial" w:cs="Arial" w:eastAsia="Arial" w:hAnsi="Arial"/>
                <w:sz w:val="18"/>
                <w:szCs w:val="18"/>
                <w:color w:val="auto"/>
              </w:rPr>
              <w:t>104</w:t>
            </w:r>
          </w:p>
        </w:tc>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540" w:type="dxa"/>
            <w:vAlign w:val="bottom"/>
            <w:gridSpan w:val="3"/>
          </w:tcPr>
          <w:p>
            <w:pPr>
              <w:ind w:left="34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717"/>
        </w:trPr>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52" w:lineRule="exact"/>
        <w:rPr>
          <w:sz w:val="20"/>
          <w:szCs w:val="20"/>
          <w:color w:val="auto"/>
        </w:rPr>
      </w:pPr>
    </w:p>
    <w:p>
      <w:pPr>
        <w:ind w:firstLine="486"/>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15" w:lineRule="exact"/>
        <w:rPr>
          <w:sz w:val="20"/>
          <w:szCs w:val="20"/>
          <w:color w:val="auto"/>
        </w:rPr>
      </w:pPr>
    </w:p>
    <w:p>
      <w:pPr>
        <w:ind w:left="5880"/>
        <w:spacing w:after="0"/>
        <w:rPr>
          <w:sz w:val="20"/>
          <w:szCs w:val="20"/>
          <w:color w:val="auto"/>
        </w:rPr>
      </w:pPr>
      <w:r>
        <w:rPr>
          <w:rFonts w:ascii="Arial" w:cs="Arial" w:eastAsia="Arial" w:hAnsi="Arial"/>
          <w:sz w:val="18"/>
          <w:szCs w:val="18"/>
          <w:b w:val="1"/>
          <w:bCs w:val="1"/>
          <w:color w:val="auto"/>
        </w:rPr>
        <w:t>ENCORE CAPITAL GROUP,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880" w:right="4060" w:hanging="5149"/>
        <w:spacing w:after="0" w:line="331" w:lineRule="auto"/>
        <w:tabs>
          <w:tab w:leader="none" w:pos="5860" w:val="left"/>
        </w:tabs>
        <w:rPr>
          <w:sz w:val="20"/>
          <w:szCs w:val="20"/>
          <w:color w:val="auto"/>
        </w:rPr>
      </w:pPr>
      <w:r>
        <w:rPr>
          <w:rFonts w:ascii="Arial" w:cs="Arial" w:eastAsia="Arial" w:hAnsi="Arial"/>
          <w:sz w:val="18"/>
          <w:szCs w:val="18"/>
          <w:color w:val="auto"/>
        </w:rPr>
        <w:t>Date: June 15, 2026</w:t>
      </w:r>
      <w:r>
        <w:rPr>
          <w:sz w:val="20"/>
          <w:szCs w:val="20"/>
          <w:color w:val="auto"/>
        </w:rPr>
        <w:tab/>
      </w:r>
      <w:r>
        <w:rPr>
          <w:rFonts w:ascii="Arial" w:cs="Arial" w:eastAsia="Arial" w:hAnsi="Arial"/>
          <w:sz w:val="17"/>
          <w:szCs w:val="17"/>
          <w:u w:val="single" w:color="auto"/>
          <w:color w:val="auto"/>
        </w:rPr>
        <w:t xml:space="preserve">/s/ Andrew Asch </w:t>
      </w:r>
      <w:r>
        <w:rPr>
          <w:rFonts w:ascii="Arial" w:cs="Arial" w:eastAsia="Arial" w:hAnsi="Arial"/>
          <w:sz w:val="17"/>
          <w:szCs w:val="17"/>
          <w:color w:val="auto"/>
        </w:rPr>
        <w:t>Andrew Asch</w:t>
      </w:r>
    </w:p>
    <w:p>
      <w:pPr>
        <w:spacing w:after="0" w:line="1"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Senior Vice President, General Counsel, Government</w:t>
      </w:r>
    </w:p>
    <w:p>
      <w:pPr>
        <w:ind w:left="5880"/>
        <w:spacing w:after="0"/>
        <w:rPr>
          <w:sz w:val="20"/>
          <w:szCs w:val="20"/>
          <w:color w:val="auto"/>
        </w:rPr>
      </w:pPr>
      <w:r>
        <w:rPr>
          <w:rFonts w:ascii="Arial" w:cs="Arial" w:eastAsia="Arial" w:hAnsi="Arial"/>
          <w:sz w:val="18"/>
          <w:szCs w:val="18"/>
          <w:color w:val="auto"/>
        </w:rPr>
        <w:t>Affairs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962025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47"/>
        </w:trPr>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40" w:type="dxa"/>
            <w:vAlign w:val="bottom"/>
          </w:tcPr>
          <w:p>
            <w:pPr>
              <w:ind w:left="1940"/>
              <w:spacing w:after="0"/>
              <w:rPr>
                <w:sz w:val="20"/>
                <w:szCs w:val="20"/>
                <w:color w:val="auto"/>
              </w:rPr>
            </w:pPr>
            <w:r>
              <w:rPr>
                <w:rFonts w:ascii="Arial" w:cs="Arial" w:eastAsia="Arial" w:hAnsi="Arial"/>
                <w:sz w:val="18"/>
                <w:szCs w:val="18"/>
                <w:b w:val="1"/>
                <w:bCs w:val="1"/>
                <w:color w:val="auto"/>
              </w:rPr>
              <w:t>EXHIBIT INDEX</w:t>
            </w:r>
          </w:p>
        </w:tc>
      </w:tr>
      <w:tr>
        <w:trPr>
          <w:trHeight w:val="447"/>
        </w:trPr>
        <w:tc>
          <w:tcPr>
            <w:tcW w:w="1340" w:type="dxa"/>
            <w:vAlign w:val="bottom"/>
            <w:gridSpan w:val="4"/>
          </w:tcPr>
          <w:p>
            <w:pPr>
              <w:spacing w:after="0"/>
              <w:rPr>
                <w:sz w:val="20"/>
                <w:szCs w:val="20"/>
                <w:color w:val="auto"/>
              </w:rPr>
            </w:pPr>
            <w:r>
              <w:rPr>
                <w:rFonts w:ascii="Arial" w:cs="Arial" w:eastAsia="Arial" w:hAnsi="Arial"/>
                <w:sz w:val="18"/>
                <w:szCs w:val="18"/>
                <w:b w:val="1"/>
                <w:bCs w:val="1"/>
                <w:color w:val="auto"/>
                <w:w w:val="99"/>
              </w:rPr>
              <w:t>Exhibit Number</w:t>
            </w:r>
          </w:p>
        </w:tc>
        <w:tc>
          <w:tcPr>
            <w:tcW w:w="340" w:type="dxa"/>
            <w:vAlign w:val="bottom"/>
          </w:tcPr>
          <w:p>
            <w:pPr>
              <w:spacing w:after="0"/>
              <w:rPr>
                <w:sz w:val="24"/>
                <w:szCs w:val="24"/>
                <w:color w:val="auto"/>
              </w:rPr>
            </w:pPr>
          </w:p>
        </w:tc>
        <w:tc>
          <w:tcPr>
            <w:tcW w:w="7560" w:type="dxa"/>
            <w:vAlign w:val="bottom"/>
            <w:gridSpan w:val="3"/>
          </w:tcPr>
          <w:p>
            <w:pPr>
              <w:ind w:left="34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r>
      <w:tr>
        <w:trPr>
          <w:trHeight w:val="210"/>
        </w:trPr>
        <w:tc>
          <w:tcPr>
            <w:tcW w:w="80" w:type="dxa"/>
            <w:vAlign w:val="bottom"/>
          </w:tcPr>
          <w:p>
            <w:pPr>
              <w:spacing w:after="0"/>
              <w:rPr>
                <w:sz w:val="18"/>
                <w:szCs w:val="18"/>
                <w:color w:val="auto"/>
              </w:rPr>
            </w:pPr>
          </w:p>
        </w:tc>
        <w:tc>
          <w:tcPr>
            <w:tcW w:w="2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5"/>
              </w:rPr>
              <w:t>3.</w:t>
            </w:r>
            <w:r>
              <w:rPr>
                <w:rFonts w:ascii="Arial" w:cs="Arial" w:eastAsia="Arial" w:hAnsi="Arial"/>
                <w:sz w:val="18"/>
                <w:szCs w:val="18"/>
                <w:u w:val="single" w:color="auto"/>
                <w:color w:val="0000FF"/>
                <w:w w:val="95"/>
              </w:rPr>
              <w:t>1</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560" w:type="dxa"/>
            <w:vAlign w:val="bottom"/>
            <w:gridSpan w:val="3"/>
          </w:tcPr>
          <w:p>
            <w:pPr>
              <w:ind w:left="340"/>
              <w:spacing w:after="0"/>
              <w:rPr>
                <w:sz w:val="20"/>
                <w:szCs w:val="20"/>
                <w:color w:val="auto"/>
              </w:rPr>
            </w:pPr>
            <w:r>
              <w:rPr>
                <w:rFonts w:ascii="Arial" w:cs="Arial" w:eastAsia="Arial" w:hAnsi="Arial"/>
                <w:sz w:val="18"/>
                <w:szCs w:val="18"/>
                <w:color w:val="auto"/>
                <w:w w:val="99"/>
              </w:rPr>
              <w:t>Third Certificate of Amendment of Certificate of Incorporation of Encore Capital Group, Inc.</w:t>
            </w:r>
          </w:p>
        </w:tc>
      </w:tr>
      <w:tr>
        <w:trPr>
          <w:trHeight w:val="209"/>
        </w:trPr>
        <w:tc>
          <w:tcPr>
            <w:tcW w:w="80" w:type="dxa"/>
            <w:vAlign w:val="bottom"/>
          </w:tcPr>
          <w:p>
            <w:pPr>
              <w:spacing w:after="0"/>
              <w:rPr>
                <w:sz w:val="18"/>
                <w:szCs w:val="18"/>
                <w:color w:val="auto"/>
              </w:rPr>
            </w:pPr>
          </w:p>
        </w:tc>
        <w:tc>
          <w:tcPr>
            <w:tcW w:w="36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1</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560" w:type="dxa"/>
            <w:vAlign w:val="bottom"/>
            <w:gridSpan w:val="3"/>
          </w:tcPr>
          <w:p>
            <w:pPr>
              <w:ind w:left="340"/>
              <w:spacing w:after="0"/>
              <w:rPr>
                <w:sz w:val="20"/>
                <w:szCs w:val="20"/>
                <w:color w:val="auto"/>
              </w:rPr>
            </w:pPr>
            <w:r>
              <w:rPr>
                <w:rFonts w:ascii="Arial" w:cs="Arial" w:eastAsia="Arial" w:hAnsi="Arial"/>
                <w:sz w:val="18"/>
                <w:szCs w:val="18"/>
                <w:color w:val="auto"/>
              </w:rPr>
              <w:t>Amended and Restated Encore Capital Group, Inc. 2017 Incentive Award Plan</w:t>
            </w:r>
          </w:p>
        </w:tc>
      </w:tr>
      <w:tr>
        <w:trPr>
          <w:trHeight w:val="254"/>
        </w:trPr>
        <w:tc>
          <w:tcPr>
            <w:tcW w:w="440" w:type="dxa"/>
            <w:vAlign w:val="bottom"/>
            <w:gridSpan w:val="3"/>
          </w:tcPr>
          <w:p>
            <w:pPr>
              <w:ind w:left="80"/>
              <w:spacing w:after="0"/>
              <w:rPr>
                <w:sz w:val="20"/>
                <w:szCs w:val="20"/>
                <w:color w:val="auto"/>
              </w:rPr>
            </w:pPr>
            <w:r>
              <w:rPr>
                <w:rFonts w:ascii="Arial" w:cs="Arial" w:eastAsia="Arial" w:hAnsi="Arial"/>
                <w:sz w:val="18"/>
                <w:szCs w:val="18"/>
                <w:color w:val="auto"/>
              </w:rPr>
              <w:t>104</w:t>
            </w:r>
          </w:p>
        </w:tc>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560" w:type="dxa"/>
            <w:vAlign w:val="bottom"/>
            <w:gridSpan w:val="3"/>
          </w:tcPr>
          <w:p>
            <w:pPr>
              <w:ind w:left="340"/>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ectPr>
          <w:pgSz w:w="11900" w:h="16838" w:orient="portrait"/>
          <w:cols w:equalWidth="0" w:num="1">
            <w:col w:w="10119"/>
          </w:cols>
          <w:pgMar w:left="340" w:top="1417" w:right="1440" w:bottom="1440" w:gutter="0" w:footer="0" w:header="0"/>
        </w:sectPr>
      </w:pPr>
    </w:p>
    <w:bookmarkStart w:id="6" w:name="page7"/>
    <w:bookmarkEnd w:id="6"/>
    <w:p>
      <w:pPr>
        <w:jc w:val="right"/>
        <w:spacing w:after="0"/>
        <w:rPr>
          <w:sz w:val="20"/>
          <w:szCs w:val="20"/>
          <w:color w:val="auto"/>
        </w:rPr>
      </w:pPr>
      <w:r>
        <w:rPr>
          <w:rFonts w:ascii="Arial" w:cs="Arial" w:eastAsia="Arial" w:hAnsi="Arial"/>
          <w:sz w:val="22"/>
          <w:szCs w:val="22"/>
          <w:b w:val="1"/>
          <w:bCs w:val="1"/>
          <w:color w:val="auto"/>
        </w:rPr>
        <w:t>Exhibit 3.1</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Certificate of Amendment of Certificate of Incorporation of Encore Capital Group, Inc.</w:t>
      </w:r>
    </w:p>
    <w:p>
      <w:pPr>
        <w:spacing w:after="0" w:line="239" w:lineRule="exact"/>
        <w:rPr>
          <w:sz w:val="20"/>
          <w:szCs w:val="20"/>
          <w:color w:val="auto"/>
        </w:rPr>
      </w:pPr>
    </w:p>
    <w:p>
      <w:pPr>
        <w:jc w:val="both"/>
        <w:ind w:right="340"/>
        <w:spacing w:after="0" w:line="287" w:lineRule="auto"/>
        <w:rPr>
          <w:sz w:val="20"/>
          <w:szCs w:val="20"/>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The name of the corporation (hereinafter referred to as the “Corporation”) is Encore Capital Group, Inc. The corporation was</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incorporated in the State of Delaware on April 29, 1999 under the original name “MCM Capital Group, Inc.”</w:t>
      </w:r>
    </w:p>
    <w:p>
      <w:pPr>
        <w:spacing w:after="0" w:line="180" w:lineRule="exact"/>
        <w:rPr>
          <w:sz w:val="20"/>
          <w:szCs w:val="20"/>
          <w:color w:val="auto"/>
        </w:rPr>
      </w:pPr>
    </w:p>
    <w:p>
      <w:pPr>
        <w:jc w:val="both"/>
        <w:ind w:right="320"/>
        <w:spacing w:after="0" w:line="262" w:lineRule="auto"/>
        <w:rPr>
          <w:sz w:val="20"/>
          <w:szCs w:val="20"/>
          <w:color w:val="auto"/>
        </w:rPr>
      </w:pPr>
      <w:r>
        <w:rPr>
          <w:rFonts w:ascii="Arial" w:cs="Arial" w:eastAsia="Arial" w:hAnsi="Arial"/>
          <w:sz w:val="18"/>
          <w:szCs w:val="18"/>
          <w:b w:val="1"/>
          <w:bCs w:val="1"/>
          <w:color w:val="auto"/>
        </w:rPr>
        <w:t>SECOND</w:t>
      </w:r>
      <w:r>
        <w:rPr>
          <w:rFonts w:ascii="Arial" w:cs="Arial" w:eastAsia="Arial" w:hAnsi="Arial"/>
          <w:sz w:val="18"/>
          <w:szCs w:val="18"/>
          <w:color w:val="auto"/>
        </w:rPr>
        <w:t>: At a meeting of the Board of Directors of Encore Capital Group, Inc., resolutions were duly adopted setting forth a proposed</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to the Amended and Restated Certificate of Incorporation (the “Certificate of Incorporation”) of said corporation, declaring said amendment to be advisable and directing that the proposed amendment to be considered at the next annual meeting of the stockholders.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resolution setting forth the proposed amendment is as follows:</w:t>
      </w:r>
    </w:p>
    <w:p>
      <w:pPr>
        <w:spacing w:after="0" w:line="252" w:lineRule="exact"/>
        <w:rPr>
          <w:sz w:val="20"/>
          <w:szCs w:val="20"/>
          <w:color w:val="auto"/>
        </w:rPr>
      </w:pPr>
    </w:p>
    <w:p>
      <w:pPr>
        <w:jc w:val="both"/>
        <w:ind w:right="340"/>
        <w:spacing w:after="0" w:line="287"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Certificate of Incorporation of the Corporation be amended by changing Article Eight to read in its entirety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166" w:lineRule="exact"/>
        <w:rPr>
          <w:sz w:val="20"/>
          <w:szCs w:val="20"/>
          <w:color w:val="auto"/>
        </w:rPr>
      </w:pPr>
    </w:p>
    <w:p>
      <w:pPr>
        <w:jc w:val="both"/>
        <w:ind w:right="320"/>
        <w:spacing w:after="0" w:line="255" w:lineRule="auto"/>
        <w:rPr>
          <w:sz w:val="20"/>
          <w:szCs w:val="20"/>
          <w:color w:val="auto"/>
        </w:rPr>
      </w:pPr>
      <w:r>
        <w:rPr>
          <w:rFonts w:ascii="Arial" w:cs="Arial" w:eastAsia="Arial" w:hAnsi="Arial"/>
          <w:sz w:val="18"/>
          <w:szCs w:val="18"/>
          <w:color w:val="auto"/>
        </w:rPr>
        <w:t>“To the fullest extent permitted by the Delaware General Corporation Law, as it presently exists or may hereafter be amended from time to time, a director or officer of the corporation shall not be personally liable to the corporation or its stockholders for monetary damages for breach of fiduciary duty as a director or officer, as applicable. If the Delaware General Corporation Law is amended after approval by the stockholders of this provision to authorize corporate action further eliminating or limiting the personal liability of directors or officers, then the liability of a director or officer of the corporation shall be eliminated or limited to the fullest extent permitted by the Delaware General Corporation Law, as so amended. Any amendment, repeal or modification of this provision, or the adoption of any provision of the Certificate of Incorporation inconsistent with this provision, shall not adversely affect any right or protection of a director or officer of the corporation with respect to any act or omission occurring prior to such amendment, repeal, modification, or adoption.”</w:t>
      </w:r>
    </w:p>
    <w:p>
      <w:pPr>
        <w:spacing w:after="0" w:line="212" w:lineRule="exact"/>
        <w:rPr>
          <w:sz w:val="20"/>
          <w:szCs w:val="20"/>
          <w:color w:val="auto"/>
        </w:rPr>
      </w:pPr>
    </w:p>
    <w:p>
      <w:pPr>
        <w:jc w:val="both"/>
        <w:ind w:right="320"/>
        <w:spacing w:after="0" w:line="268" w:lineRule="auto"/>
        <w:rPr>
          <w:sz w:val="20"/>
          <w:szCs w:val="20"/>
          <w:color w:val="auto"/>
        </w:rPr>
      </w:pPr>
      <w:r>
        <w:rPr>
          <w:rFonts w:ascii="Arial" w:cs="Arial" w:eastAsia="Arial" w:hAnsi="Arial"/>
          <w:sz w:val="18"/>
          <w:szCs w:val="18"/>
          <w:b w:val="1"/>
          <w:bCs w:val="1"/>
          <w:color w:val="auto"/>
        </w:rPr>
        <w:t>THIRD</w:t>
      </w:r>
      <w:r>
        <w:rPr>
          <w:rFonts w:ascii="Arial" w:cs="Arial" w:eastAsia="Arial" w:hAnsi="Arial"/>
          <w:sz w:val="18"/>
          <w:szCs w:val="18"/>
          <w:color w:val="auto"/>
        </w:rPr>
        <w:t>: Thereafter, pursuant to resolution of its Board of Directors, the annual meeting of the stockholders of the Corporation was duly</w:t>
      </w:r>
      <w:r>
        <w:rPr>
          <w:rFonts w:ascii="Arial" w:cs="Arial" w:eastAsia="Arial" w:hAnsi="Arial"/>
          <w:sz w:val="18"/>
          <w:szCs w:val="18"/>
          <w:b w:val="1"/>
          <w:bCs w:val="1"/>
          <w:color w:val="auto"/>
        </w:rPr>
        <w:t xml:space="preserve"> </w:t>
      </w:r>
      <w:r>
        <w:rPr>
          <w:rFonts w:ascii="Arial" w:cs="Arial" w:eastAsia="Arial" w:hAnsi="Arial"/>
          <w:sz w:val="18"/>
          <w:szCs w:val="18"/>
          <w:color w:val="auto"/>
        </w:rPr>
        <w:t>called and held, upon notice in accordance with Section 222 of the General Corporation Law of the State of Delaware, at which meeting the necessary number of shares as required by statute were voted in favor of the amendment.</w:t>
      </w:r>
    </w:p>
    <w:p>
      <w:pPr>
        <w:spacing w:after="0" w:line="198" w:lineRule="exact"/>
        <w:rPr>
          <w:sz w:val="20"/>
          <w:szCs w:val="20"/>
          <w:color w:val="auto"/>
        </w:rPr>
      </w:pPr>
    </w:p>
    <w:p>
      <w:pPr>
        <w:jc w:val="both"/>
        <w:ind w:right="320"/>
        <w:spacing w:after="0" w:line="287" w:lineRule="auto"/>
        <w:rPr>
          <w:sz w:val="20"/>
          <w:szCs w:val="20"/>
          <w:color w:val="auto"/>
        </w:rPr>
      </w:pPr>
      <w:r>
        <w:rPr>
          <w:rFonts w:ascii="Arial" w:cs="Arial" w:eastAsia="Arial" w:hAnsi="Arial"/>
          <w:sz w:val="18"/>
          <w:szCs w:val="18"/>
          <w:b w:val="1"/>
          <w:bCs w:val="1"/>
          <w:color w:val="auto"/>
        </w:rPr>
        <w:t>FOURTH</w:t>
      </w:r>
      <w:r>
        <w:rPr>
          <w:rFonts w:ascii="Arial" w:cs="Arial" w:eastAsia="Arial" w:hAnsi="Arial"/>
          <w:sz w:val="18"/>
          <w:szCs w:val="18"/>
          <w:color w:val="auto"/>
        </w:rPr>
        <w:t>: The foregoing amendment was duly adopted in accordance with provisions of Section 242 of the General Corporation Law of</w:t>
      </w:r>
      <w:r>
        <w:rPr>
          <w:rFonts w:ascii="Arial" w:cs="Arial" w:eastAsia="Arial" w:hAnsi="Arial"/>
          <w:sz w:val="18"/>
          <w:szCs w:val="18"/>
          <w:b w:val="1"/>
          <w:bCs w:val="1"/>
          <w:color w:val="auto"/>
        </w:rPr>
        <w:t xml:space="preserve"> </w:t>
      </w:r>
      <w:r>
        <w:rPr>
          <w:rFonts w:ascii="Arial" w:cs="Arial" w:eastAsia="Arial" w:hAnsi="Arial"/>
          <w:sz w:val="18"/>
          <w:szCs w:val="18"/>
          <w:color w:val="auto"/>
        </w:rPr>
        <w:t>the State of Delaware.</w:t>
      </w:r>
    </w:p>
    <w:p>
      <w:pPr>
        <w:spacing w:after="0" w:line="200" w:lineRule="exact"/>
        <w:rPr>
          <w:sz w:val="20"/>
          <w:szCs w:val="20"/>
          <w:color w:val="auto"/>
        </w:rPr>
      </w:pP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Corporation has caused this certificate to be signed this 12th day of June, 2026.</w:t>
      </w:r>
    </w:p>
    <w:p>
      <w:pPr>
        <w:spacing w:after="0" w:line="225"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Encore Capital Group, Inc.</w:t>
      </w:r>
    </w:p>
    <w:p>
      <w:pPr>
        <w:spacing w:after="0" w:line="200" w:lineRule="exact"/>
        <w:rPr>
          <w:sz w:val="20"/>
          <w:szCs w:val="20"/>
          <w:color w:val="auto"/>
        </w:rPr>
      </w:pPr>
    </w:p>
    <w:p>
      <w:pPr>
        <w:spacing w:after="0" w:line="30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By: /s/ Andrew Asch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3307715</wp:posOffset>
            </wp:positionH>
            <wp:positionV relativeFrom="paragraph">
              <wp:posOffset>-7620</wp:posOffset>
            </wp:positionV>
            <wp:extent cx="857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7"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Andrew Asch</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1240"/>
          </w:cols>
          <w:pgMar w:left="320" w:top="125"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10.1</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 ENCORE CAPITAL GROUP,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2017 INCENTIVE AWARD PLAN</w:t>
      </w:r>
    </w:p>
    <w:p>
      <w:pPr>
        <w:spacing w:after="0" w:line="92"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Purpose</w:t>
      </w:r>
      <w:r>
        <w:rPr>
          <w:rFonts w:ascii="Arial" w:cs="Arial" w:eastAsia="Arial" w:hAnsi="Arial"/>
          <w:sz w:val="18"/>
          <w:szCs w:val="18"/>
          <w:color w:val="auto"/>
        </w:rPr>
        <w:t>.</w:t>
      </w:r>
    </w:p>
    <w:p>
      <w:pPr>
        <w:spacing w:after="0" w:line="117" w:lineRule="exact"/>
        <w:rPr>
          <w:sz w:val="20"/>
          <w:szCs w:val="20"/>
          <w:color w:val="auto"/>
        </w:rPr>
      </w:pPr>
    </w:p>
    <w:p>
      <w:pPr>
        <w:jc w:val="both"/>
        <w:ind w:firstLine="921"/>
        <w:spacing w:after="0" w:line="262" w:lineRule="auto"/>
        <w:rPr>
          <w:sz w:val="20"/>
          <w:szCs w:val="20"/>
          <w:color w:val="auto"/>
        </w:rPr>
      </w:pPr>
      <w:r>
        <w:rPr>
          <w:rFonts w:ascii="Arial" w:cs="Arial" w:eastAsia="Arial" w:hAnsi="Arial"/>
          <w:sz w:val="18"/>
          <w:szCs w:val="18"/>
          <w:color w:val="auto"/>
        </w:rPr>
        <w:t>The Plan’s purpose is to enhance the Company’s ability to attract, retain and motivate persons who make (or are expected to make) important contributions to the Company by providing these individuals with equity ownership opportunities. The Plan amends and restates in its entirety the Encore Capital Group, Inc. 2017 Incentive Award Plan (the “</w:t>
      </w:r>
      <w:r>
        <w:rPr>
          <w:rFonts w:ascii="Arial" w:cs="Arial" w:eastAsia="Arial" w:hAnsi="Arial"/>
          <w:sz w:val="18"/>
          <w:szCs w:val="18"/>
          <w:b w:val="1"/>
          <w:bCs w:val="1"/>
          <w:i w:val="1"/>
          <w:iCs w:val="1"/>
          <w:color w:val="auto"/>
        </w:rPr>
        <w:t>Original Plan</w:t>
      </w:r>
      <w:r>
        <w:rPr>
          <w:rFonts w:ascii="Arial" w:cs="Arial" w:eastAsia="Arial" w:hAnsi="Arial"/>
          <w:sz w:val="18"/>
          <w:szCs w:val="18"/>
          <w:color w:val="auto"/>
        </w:rPr>
        <w:t>”). Capitalized terms used in the Plan are defined in Section 11.</w:t>
      </w:r>
    </w:p>
    <w:p>
      <w:pPr>
        <w:spacing w:after="0" w:line="70"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Eligibility</w:t>
      </w:r>
      <w:r>
        <w:rPr>
          <w:rFonts w:ascii="Arial" w:cs="Arial" w:eastAsia="Arial" w:hAnsi="Arial"/>
          <w:sz w:val="18"/>
          <w:szCs w:val="18"/>
          <w:i w:val="1"/>
          <w:iCs w:val="1"/>
          <w:color w:val="auto"/>
        </w:rPr>
        <w:t>.</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Service Providers are eligible to be granted Awards under the Plan, subject to the limitations described herein.</w:t>
      </w:r>
    </w:p>
    <w:p>
      <w:pPr>
        <w:spacing w:after="0" w:line="117"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Administration and Delegation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firstLine="1304"/>
        <w:spacing w:after="0" w:line="256" w:lineRule="auto"/>
        <w:tabs>
          <w:tab w:leader="none" w:pos="1934" w:val="left"/>
        </w:tabs>
        <w:numPr>
          <w:ilvl w:val="1"/>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The Plan is administered by the Administrator. The Administrator has authority to determine which</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Providers receive Awards, grant Awards and set Award terms and conditions, subject to the conditions and limitations in the Plan. The Administrator also has the authority to take all actions and make all determinations under the Plan, to interpret the Plan and Award Agreements and to adopt, amend and repeal Plan administrative rules, guidelines and practices as it deems advisable. The Administrator may correct defects and ambiguities, supply omissions and reconcile inconsistencies in the Plan or any Award Agreement as it deems necessary or appropriate to administer the Plan and any Awards. The Administrator’s determinations under the Plan are in its sole discretion and will be final and binding on all persons having or claiming any interest in the Plan or any Award.</w:t>
      </w:r>
    </w:p>
    <w:p>
      <w:pPr>
        <w:spacing w:after="0" w:line="74" w:lineRule="exact"/>
        <w:rPr>
          <w:rFonts w:ascii="Arial" w:cs="Arial" w:eastAsia="Arial" w:hAnsi="Arial"/>
          <w:sz w:val="18"/>
          <w:szCs w:val="18"/>
          <w:color w:val="auto"/>
        </w:rPr>
      </w:pPr>
    </w:p>
    <w:p>
      <w:pPr>
        <w:jc w:val="both"/>
        <w:ind w:firstLine="1304"/>
        <w:spacing w:after="0" w:line="262" w:lineRule="auto"/>
        <w:tabs>
          <w:tab w:leader="none" w:pos="1934" w:val="left"/>
        </w:tabs>
        <w:numPr>
          <w:ilvl w:val="1"/>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Appointment of Committees. </w:t>
      </w:r>
      <w:r>
        <w:rPr>
          <w:rFonts w:ascii="Arial" w:cs="Arial" w:eastAsia="Arial" w:hAnsi="Arial"/>
          <w:sz w:val="18"/>
          <w:szCs w:val="18"/>
          <w:color w:val="auto"/>
        </w:rPr>
        <w:t>To the extent Applicable Laws permit, the Board or the Administrator may delegate</w:t>
      </w:r>
      <w:r>
        <w:rPr>
          <w:rFonts w:ascii="Arial" w:cs="Arial" w:eastAsia="Arial" w:hAnsi="Arial"/>
          <w:sz w:val="18"/>
          <w:szCs w:val="18"/>
          <w:i w:val="1"/>
          <w:iCs w:val="1"/>
          <w:color w:val="auto"/>
        </w:rPr>
        <w:t xml:space="preserve"> </w:t>
      </w:r>
      <w:r>
        <w:rPr>
          <w:rFonts w:ascii="Arial" w:cs="Arial" w:eastAsia="Arial" w:hAnsi="Arial"/>
          <w:sz w:val="18"/>
          <w:szCs w:val="18"/>
          <w:color w:val="auto"/>
        </w:rPr>
        <w:t>any or all of its powers under the Plan to one or more Committees or committees of officers of the Company or any of its Subsidiaries. The Board or the Administrator, as applicable, may rescind any such delegation, may abolish any such committee or Committee and/or re-vest in itself any previously delegated authority at any time.</w:t>
      </w:r>
    </w:p>
    <w:p>
      <w:pPr>
        <w:spacing w:after="0" w:line="68"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Stock Available for Awards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firstLine="1304"/>
        <w:spacing w:after="0" w:line="268" w:lineRule="auto"/>
        <w:tabs>
          <w:tab w:leader="none" w:pos="1934" w:val="left"/>
        </w:tabs>
        <w:numPr>
          <w:ilvl w:val="1"/>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Number of Shares. </w:t>
      </w:r>
      <w:r>
        <w:rPr>
          <w:rFonts w:ascii="Arial" w:cs="Arial" w:eastAsia="Arial" w:hAnsi="Arial"/>
          <w:sz w:val="18"/>
          <w:szCs w:val="18"/>
          <w:color w:val="auto"/>
        </w:rPr>
        <w:t>Subject to adjustment under Section 8 and the terms of this Section 4, Awards may be made</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Plan covering up to the Overall Share Limit. Shares issued under the Plan may consist of authorized but unissued Shares, Shares purchased on the open market or treasury Shares.</w:t>
      </w:r>
    </w:p>
    <w:p>
      <w:pPr>
        <w:spacing w:after="0" w:line="62" w:lineRule="exact"/>
        <w:rPr>
          <w:rFonts w:ascii="Arial" w:cs="Arial" w:eastAsia="Arial" w:hAnsi="Arial"/>
          <w:sz w:val="18"/>
          <w:szCs w:val="18"/>
          <w:color w:val="auto"/>
        </w:rPr>
      </w:pPr>
    </w:p>
    <w:p>
      <w:pPr>
        <w:jc w:val="both"/>
        <w:ind w:firstLine="1304"/>
        <w:spacing w:after="0" w:line="252" w:lineRule="auto"/>
        <w:tabs>
          <w:tab w:leader="none" w:pos="1934" w:val="left"/>
        </w:tabs>
        <w:numPr>
          <w:ilvl w:val="1"/>
          <w:numId w:val="5"/>
        </w:numPr>
        <w:rPr>
          <w:rFonts w:ascii="Arial" w:cs="Arial" w:eastAsia="Arial" w:hAnsi="Arial"/>
          <w:sz w:val="18"/>
          <w:szCs w:val="18"/>
          <w:color w:val="auto"/>
        </w:rPr>
      </w:pPr>
      <w:r>
        <w:rPr>
          <w:rFonts w:ascii="Arial" w:cs="Arial" w:eastAsia="Arial" w:hAnsi="Arial"/>
          <w:sz w:val="18"/>
          <w:szCs w:val="18"/>
          <w:i w:val="1"/>
          <w:iCs w:val="1"/>
          <w:color w:val="auto"/>
        </w:rPr>
        <w:t>Share Recycling</w:t>
      </w:r>
      <w:r>
        <w:rPr>
          <w:rFonts w:ascii="Arial" w:cs="Arial" w:eastAsia="Arial" w:hAnsi="Arial"/>
          <w:sz w:val="18"/>
          <w:szCs w:val="18"/>
          <w:color w:val="auto"/>
        </w:rPr>
        <w:t>. Except as provided in subsection (c) below, if all or any part of an Award or a Prior Plan Award</w:t>
      </w:r>
      <w:r>
        <w:rPr>
          <w:rFonts w:ascii="Arial" w:cs="Arial" w:eastAsia="Arial" w:hAnsi="Arial"/>
          <w:sz w:val="18"/>
          <w:szCs w:val="18"/>
          <w:i w:val="1"/>
          <w:iCs w:val="1"/>
          <w:color w:val="auto"/>
        </w:rPr>
        <w:t xml:space="preserve"> </w:t>
      </w:r>
      <w:r>
        <w:rPr>
          <w:rFonts w:ascii="Arial" w:cs="Arial" w:eastAsia="Arial" w:hAnsi="Arial"/>
          <w:sz w:val="18"/>
          <w:szCs w:val="18"/>
          <w:color w:val="auto"/>
        </w:rPr>
        <w:t>expires, lapses or is terminated, exchanged for or settled in cash, surrendered, repurchased, canceled without having been fully exercised or forfeited, in any case, in a manner that results in the Company acquiring Shares covered by the Award or Prior Plan Award at a price not greater than the price (as adjusted to reflect any Equity Restructuring) paid by the Participant for such Shares or not issuing any Shares covered by the Award or Prior Plan Award, the unused Shares covered by the Award or Prior Plan Award will, as applicable, become or again be available for Awards under the Plan. Further, Shares delivered (either by actual delivery or attestation) to the Company by a Participant to satisfy the applicable exercise or purchase price of an Award or Prior Plan Award and/or to satisfy any applicable tax withholding obligation with respect to an Award or Prior Plan Award (including Shares retained by the Company from the Award or Prior Plan Award being exercised or purchased and/or creating the tax obligation) will, as applicable, become or again be available for Award under the Plan. To the extent that Shares become or again are available for Awards under the Plan in accordance with this Section 4(b), then the number of Shares available for Awards under the Plan shall increase by the number of Shares that were originally debited from the share reserve with respect to such Award (or, with respect to Prior Plan Awards, by (i) 2.12 Shares for each such Share subject to an award other than an option or a stock appreciation right granted under the Prior Plan and (ii) one Share for each such Share subject to an option or a stock appreciation right granted under the Prior Plan). The payment of Dividend Equivalents in cash in conjunction with any outstanding Awards or Prior Plan Awards shall not count against the Overall Share Limit. Further notwithstanding anything to the contrary contained herein, no Shares shall again be available for future grants of Awards under the Plan pursuant to this Section 4(b) to the extent that such return of shares would cause the Plan to be a “formula” or “evergreen” plan or constitute a “material revision” or “material amendment” subject to stockholder approval under the requirements of the established stock exchange on which the Company’s securities are traded.</w:t>
      </w:r>
    </w:p>
    <w:p>
      <w:pPr>
        <w:sectPr>
          <w:pgSz w:w="11900" w:h="16838" w:orient="portrait"/>
          <w:cols w:equalWidth="0" w:num="1">
            <w:col w:w="11240"/>
          </w:cols>
          <w:pgMar w:left="320" w:top="904" w:right="339" w:bottom="1440" w:gutter="0" w:footer="0" w:header="0"/>
        </w:sectPr>
      </w:pPr>
    </w:p>
    <w:bookmarkStart w:id="8" w:name="page9"/>
    <w:bookmarkEnd w:id="8"/>
    <w:p>
      <w:pPr>
        <w:ind w:left="-656" w:firstLine="1304"/>
        <w:spacing w:after="0" w:line="287" w:lineRule="auto"/>
        <w:tabs>
          <w:tab w:leader="none" w:pos="1282"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Limitation on Share Recycling</w:t>
      </w:r>
      <w:r>
        <w:rPr>
          <w:rFonts w:ascii="Arial" w:cs="Arial" w:eastAsia="Arial" w:hAnsi="Arial"/>
          <w:sz w:val="18"/>
          <w:szCs w:val="18"/>
          <w:color w:val="auto"/>
        </w:rPr>
        <w:t>. Notwithstanding anything to the contrary contained herein, the following Shares shall</w:t>
      </w:r>
      <w:r>
        <w:rPr>
          <w:rFonts w:ascii="Arial" w:cs="Arial" w:eastAsia="Arial" w:hAnsi="Arial"/>
          <w:sz w:val="18"/>
          <w:szCs w:val="18"/>
          <w:i w:val="1"/>
          <w:iCs w:val="1"/>
          <w:color w:val="auto"/>
        </w:rPr>
        <w:t xml:space="preserve"> </w:t>
      </w:r>
      <w:r>
        <w:rPr>
          <w:rFonts w:ascii="Arial" w:cs="Arial" w:eastAsia="Arial" w:hAnsi="Arial"/>
          <w:sz w:val="18"/>
          <w:szCs w:val="18"/>
          <w:color w:val="auto"/>
        </w:rPr>
        <w:t>not be added to the Shares authorized for grant under Section 4(a) and shall not be available for future grants of Awards:</w:t>
      </w:r>
    </w:p>
    <w:p>
      <w:pPr>
        <w:spacing w:after="0" w:line="44" w:lineRule="exact"/>
        <w:rPr>
          <w:rFonts w:ascii="Arial" w:cs="Arial" w:eastAsia="Arial" w:hAnsi="Arial"/>
          <w:sz w:val="18"/>
          <w:szCs w:val="18"/>
          <w:color w:val="auto"/>
        </w:rPr>
      </w:pPr>
    </w:p>
    <w:p>
      <w:pPr>
        <w:ind w:left="4" w:right="220" w:firstLine="1292"/>
        <w:spacing w:after="0" w:line="287" w:lineRule="auto"/>
        <w:tabs>
          <w:tab w:leader="none" w:pos="1946" w:val="left"/>
        </w:tabs>
        <w:numPr>
          <w:ilvl w:val="2"/>
          <w:numId w:val="6"/>
        </w:numPr>
        <w:rPr>
          <w:rFonts w:ascii="Arial" w:cs="Arial" w:eastAsia="Arial" w:hAnsi="Arial"/>
          <w:sz w:val="18"/>
          <w:szCs w:val="18"/>
          <w:color w:val="auto"/>
        </w:rPr>
      </w:pPr>
      <w:r>
        <w:rPr>
          <w:rFonts w:ascii="Arial" w:cs="Arial" w:eastAsia="Arial" w:hAnsi="Arial"/>
          <w:sz w:val="18"/>
          <w:szCs w:val="18"/>
          <w:color w:val="auto"/>
        </w:rPr>
        <w:t>Shares subject to a Stock Appreciation Right that are not issued in connection with the stock settlement of the Stock Appreciation Right on exercise thereof; and</w:t>
      </w:r>
    </w:p>
    <w:p>
      <w:pPr>
        <w:spacing w:after="0" w:line="44" w:lineRule="exact"/>
        <w:rPr>
          <w:rFonts w:ascii="Arial" w:cs="Arial" w:eastAsia="Arial" w:hAnsi="Arial"/>
          <w:sz w:val="18"/>
          <w:szCs w:val="18"/>
          <w:color w:val="auto"/>
        </w:rPr>
      </w:pPr>
    </w:p>
    <w:p>
      <w:pPr>
        <w:ind w:left="4" w:right="560" w:firstLine="1292"/>
        <w:spacing w:after="0" w:line="287" w:lineRule="auto"/>
        <w:tabs>
          <w:tab w:leader="none" w:pos="1945" w:val="left"/>
        </w:tabs>
        <w:numPr>
          <w:ilvl w:val="2"/>
          <w:numId w:val="6"/>
        </w:numPr>
        <w:rPr>
          <w:rFonts w:ascii="Arial" w:cs="Arial" w:eastAsia="Arial" w:hAnsi="Arial"/>
          <w:sz w:val="18"/>
          <w:szCs w:val="18"/>
          <w:color w:val="auto"/>
        </w:rPr>
      </w:pPr>
      <w:r>
        <w:rPr>
          <w:rFonts w:ascii="Arial" w:cs="Arial" w:eastAsia="Arial" w:hAnsi="Arial"/>
          <w:sz w:val="18"/>
          <w:szCs w:val="18"/>
          <w:color w:val="auto"/>
        </w:rPr>
        <w:t>Shares purchased on the open market with the cash proceeds from the exercise of Options or options granted under the Prior Plan.</w:t>
      </w:r>
    </w:p>
    <w:p>
      <w:pPr>
        <w:spacing w:after="0" w:line="44" w:lineRule="exact"/>
        <w:rPr>
          <w:rFonts w:ascii="Arial" w:cs="Arial" w:eastAsia="Arial" w:hAnsi="Arial"/>
          <w:sz w:val="18"/>
          <w:szCs w:val="18"/>
          <w:color w:val="auto"/>
        </w:rPr>
      </w:pPr>
    </w:p>
    <w:p>
      <w:pPr>
        <w:jc w:val="both"/>
        <w:ind w:left="-656" w:firstLine="1304"/>
        <w:spacing w:after="0" w:line="268" w:lineRule="auto"/>
        <w:tabs>
          <w:tab w:leader="none" w:pos="1278"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Incentive Stock Option Limitations</w:t>
      </w:r>
      <w:r>
        <w:rPr>
          <w:rFonts w:ascii="Arial" w:cs="Arial" w:eastAsia="Arial" w:hAnsi="Arial"/>
          <w:sz w:val="18"/>
          <w:szCs w:val="18"/>
          <w:color w:val="auto"/>
        </w:rPr>
        <w:t>. Notwithstanding anything to the contrary herein, no more than 6,363,571 Shares</w:t>
      </w:r>
      <w:r>
        <w:rPr>
          <w:rFonts w:ascii="Arial" w:cs="Arial" w:eastAsia="Arial" w:hAnsi="Arial"/>
          <w:sz w:val="18"/>
          <w:szCs w:val="18"/>
          <w:i w:val="1"/>
          <w:iCs w:val="1"/>
          <w:color w:val="auto"/>
        </w:rPr>
        <w:t xml:space="preserve"> </w:t>
      </w:r>
      <w:r>
        <w:rPr>
          <w:rFonts w:ascii="Arial" w:cs="Arial" w:eastAsia="Arial" w:hAnsi="Arial"/>
          <w:sz w:val="18"/>
          <w:szCs w:val="18"/>
          <w:color w:val="auto"/>
        </w:rPr>
        <w:t>may be issued pursuant to the exercise of Incentive Stock Options, and no Shares may again be optioned, granted or awarded if it would cause an Incentive Stock Option not to qualify as an Incentive Stock Option.</w:t>
      </w:r>
    </w:p>
    <w:p>
      <w:pPr>
        <w:spacing w:after="0" w:line="62" w:lineRule="exact"/>
        <w:rPr>
          <w:rFonts w:ascii="Arial" w:cs="Arial" w:eastAsia="Arial" w:hAnsi="Arial"/>
          <w:sz w:val="18"/>
          <w:szCs w:val="18"/>
          <w:color w:val="auto"/>
        </w:rPr>
      </w:pPr>
    </w:p>
    <w:p>
      <w:pPr>
        <w:jc w:val="both"/>
        <w:ind w:left="-656" w:firstLine="1304"/>
        <w:spacing w:after="0" w:line="256" w:lineRule="auto"/>
        <w:tabs>
          <w:tab w:leader="none" w:pos="1278"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Substitute Awards</w:t>
      </w:r>
      <w:r>
        <w:rPr>
          <w:rFonts w:ascii="Arial" w:cs="Arial" w:eastAsia="Arial" w:hAnsi="Arial"/>
          <w:sz w:val="18"/>
          <w:szCs w:val="18"/>
          <w:color w:val="auto"/>
        </w:rPr>
        <w:t>. In connection with an entity’s merger or consolidation with the Company or any Subsidiary or</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or any Subsidiary’s acquisition of an entity’s property or stock, the Administrator may grant Awards in substitution for any options or other stock or stock-based awards granted before such merger or consolidation by such entity or its affiliate. Substitute Awards may be granted on such terms as the Administrator deems appropriate, notwithstanding limitations on Awards in the Plan. Substitute Awards will not count against the Overall Share Limit nor shall Shares subject to a Substitute Award be added to the Shares available for Awards under the Plan as provided above, except that Shares acquired by exercise of substitute Incentive Stock Options will count against the maximum number of Shares that may be issued pursuant to the exercise of Incentive Stock Options under the Plan.</w:t>
      </w:r>
    </w:p>
    <w:p>
      <w:pPr>
        <w:spacing w:after="0" w:line="74" w:lineRule="exact"/>
        <w:rPr>
          <w:rFonts w:ascii="Arial" w:cs="Arial" w:eastAsia="Arial" w:hAnsi="Arial"/>
          <w:sz w:val="18"/>
          <w:szCs w:val="18"/>
          <w:color w:val="auto"/>
        </w:rPr>
      </w:pPr>
    </w:p>
    <w:p>
      <w:pPr>
        <w:jc w:val="both"/>
        <w:ind w:left="-656" w:firstLine="1304"/>
        <w:spacing w:after="0" w:line="259" w:lineRule="auto"/>
        <w:tabs>
          <w:tab w:leader="none" w:pos="1282"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Individual Award Limitations</w:t>
      </w:r>
      <w:r>
        <w:rPr>
          <w:rFonts w:ascii="Arial" w:cs="Arial" w:eastAsia="Arial" w:hAnsi="Arial"/>
          <w:sz w:val="18"/>
          <w:szCs w:val="18"/>
          <w:color w:val="auto"/>
        </w:rPr>
        <w:t>. Notwithstanding any provision in the Plan to the contrary, and subject to adjustment as</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in Section 8, the maximum aggregate number of Shares with respect to one or more Awards denominated in and/or paid in Shares that may be granted to any one person during any fiscal year of the Company shall be 2,000,000 and the maximum aggregate amount of cash that may be paid in cash to any one person during any fiscal year of the Company with respect to one or more Awards payable in cash and not denominated in Shares shall be $10,000,000.</w:t>
      </w:r>
    </w:p>
    <w:p>
      <w:pPr>
        <w:spacing w:after="0" w:line="71" w:lineRule="exact"/>
        <w:rPr>
          <w:rFonts w:ascii="Arial" w:cs="Arial" w:eastAsia="Arial" w:hAnsi="Arial"/>
          <w:sz w:val="18"/>
          <w:szCs w:val="18"/>
          <w:color w:val="auto"/>
        </w:rPr>
      </w:pPr>
    </w:p>
    <w:p>
      <w:pPr>
        <w:jc w:val="both"/>
        <w:ind w:left="-656" w:firstLine="1304"/>
        <w:spacing w:after="0" w:line="263" w:lineRule="auto"/>
        <w:tabs>
          <w:tab w:leader="none" w:pos="1278"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Non-Employee Director Award Limit. </w:t>
      </w:r>
      <w:r>
        <w:rPr>
          <w:rFonts w:ascii="Arial" w:cs="Arial" w:eastAsia="Arial" w:hAnsi="Arial"/>
          <w:sz w:val="18"/>
          <w:szCs w:val="18"/>
          <w:color w:val="auto"/>
        </w:rPr>
        <w:t>Notwithstanding any provision to the contrary in the Plan, the sum of any</w:t>
      </w:r>
      <w:r>
        <w:rPr>
          <w:rFonts w:ascii="Arial" w:cs="Arial" w:eastAsia="Arial" w:hAnsi="Arial"/>
          <w:sz w:val="18"/>
          <w:szCs w:val="18"/>
          <w:i w:val="1"/>
          <w:iCs w:val="1"/>
          <w:color w:val="auto"/>
        </w:rPr>
        <w:t xml:space="preserve"> </w:t>
      </w:r>
      <w:r>
        <w:rPr>
          <w:rFonts w:ascii="Arial" w:cs="Arial" w:eastAsia="Arial" w:hAnsi="Arial"/>
          <w:sz w:val="18"/>
          <w:szCs w:val="18"/>
          <w:color w:val="auto"/>
        </w:rPr>
        <w:t>cash compensation and the aggregate grant date fair value (determined as of the date of the grant under Financial Accounting Standards Board Accounting Standards Codification Topic 718, or any successor thereto) of all Awards granted to a non-employee Director as compensation for services as a non-employee Director during any fiscal year of the Company may not exceed $600,000 (the “</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Limit</w:t>
      </w:r>
      <w:r>
        <w:rPr>
          <w:rFonts w:ascii="Arial" w:cs="Arial" w:eastAsia="Arial" w:hAnsi="Arial"/>
          <w:sz w:val="18"/>
          <w:szCs w:val="18"/>
          <w:color w:val="auto"/>
        </w:rPr>
        <w:t>”).</w:t>
      </w:r>
    </w:p>
    <w:p>
      <w:pPr>
        <w:spacing w:after="0" w:line="280" w:lineRule="exact"/>
        <w:rPr>
          <w:rFonts w:ascii="Arial" w:cs="Arial" w:eastAsia="Arial" w:hAnsi="Arial"/>
          <w:sz w:val="18"/>
          <w:szCs w:val="18"/>
          <w:color w:val="auto"/>
        </w:rPr>
      </w:pPr>
    </w:p>
    <w:p>
      <w:pPr>
        <w:ind w:left="644" w:hanging="644"/>
        <w:spacing w:after="0"/>
        <w:tabs>
          <w:tab w:leader="none" w:pos="644"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Stock Options and Stock Appreciation Rights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color w:val="auto"/>
        </w:rPr>
      </w:pPr>
    </w:p>
    <w:p>
      <w:pPr>
        <w:jc w:val="both"/>
        <w:ind w:left="-656" w:firstLine="1304"/>
        <w:spacing w:after="0" w:line="255" w:lineRule="auto"/>
        <w:tabs>
          <w:tab w:leader="none" w:pos="1278"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The Administrator may grant Options or Stock Appreciation Rights to Service Providers subject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limitations in the Plan, including Section 5(f) with respect to Incentive Stock Options. The Administrator will determine the number of Shares covered by each Option and Stock Appreciation Right, the exercise price of each Option and Stock Appreciation Right and the conditions and limitations applicable to the exercise of each Option and Stock Appreciation Right. A Stock Appreciation Right shall entitle the Participant (or other person entitled to exercise the Stock Appreciation Right pursuant to the Plan) to exercise all or a specified portion of the Stock Appreciation Right (to the extent then exercisable pursuant to its terms) and to receive from the Company an amount determined by multiplying the difference obtained by subtracting the exercise price per share of the Stock Appreciation Right from the Fair Market Value on the date of exercise of the Stock Appreciation Right by the number of Shares with respect to which the Stock Appreciation Right shall have been exercised, subject to any limitations of the Plan or as the Administrator may impose.</w:t>
      </w:r>
    </w:p>
    <w:p>
      <w:pPr>
        <w:spacing w:after="0" w:line="72" w:lineRule="exact"/>
        <w:rPr>
          <w:rFonts w:ascii="Arial" w:cs="Arial" w:eastAsia="Arial" w:hAnsi="Arial"/>
          <w:sz w:val="18"/>
          <w:szCs w:val="18"/>
          <w:color w:val="auto"/>
        </w:rPr>
      </w:pPr>
    </w:p>
    <w:p>
      <w:pPr>
        <w:jc w:val="both"/>
        <w:ind w:left="-656" w:firstLine="1304"/>
        <w:spacing w:after="0" w:line="257" w:lineRule="auto"/>
        <w:tabs>
          <w:tab w:leader="none" w:pos="1278"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Exercise Price. </w:t>
      </w:r>
      <w:r>
        <w:rPr>
          <w:rFonts w:ascii="Arial" w:cs="Arial" w:eastAsia="Arial" w:hAnsi="Arial"/>
          <w:sz w:val="18"/>
          <w:szCs w:val="18"/>
          <w:color w:val="auto"/>
        </w:rPr>
        <w:t>The Administrator will establish each Option’s and Stock Appreciation Right’s exercise price and</w:t>
      </w:r>
      <w:r>
        <w:rPr>
          <w:rFonts w:ascii="Arial" w:cs="Arial" w:eastAsia="Arial" w:hAnsi="Arial"/>
          <w:sz w:val="18"/>
          <w:szCs w:val="18"/>
          <w:i w:val="1"/>
          <w:iCs w:val="1"/>
          <w:color w:val="auto"/>
        </w:rPr>
        <w:t xml:space="preserve"> </w:t>
      </w:r>
      <w:r>
        <w:rPr>
          <w:rFonts w:ascii="Arial" w:cs="Arial" w:eastAsia="Arial" w:hAnsi="Arial"/>
          <w:sz w:val="18"/>
          <w:szCs w:val="18"/>
          <w:color w:val="auto"/>
        </w:rPr>
        <w:t>specify the exercise price in the Award Agreement. The exercise price will not be less than 100% of the Fair Market Value on the grant date of the Option or Stock Appreciation Right. Notwithstanding the foregoing, in the case of an Option or a Stock Appreciation Right that is a Substitute Award, the exercise price per share of the Shares subject to such Option or Stock Appreciation Right, as applicable, may be less than the Fair Market Value per share on the date of grant; provided that the exercise price of any Substitute Award shall be determined in accordance with the applicable requirements of Sections 424 and 409A of the Code.</w:t>
      </w:r>
    </w:p>
    <w:p>
      <w:pPr>
        <w:spacing w:after="0" w:line="74" w:lineRule="exact"/>
        <w:rPr>
          <w:rFonts w:ascii="Arial" w:cs="Arial" w:eastAsia="Arial" w:hAnsi="Arial"/>
          <w:sz w:val="18"/>
          <w:szCs w:val="18"/>
          <w:color w:val="auto"/>
        </w:rPr>
      </w:pPr>
    </w:p>
    <w:p>
      <w:pPr>
        <w:jc w:val="both"/>
        <w:ind w:left="-656" w:firstLine="1304"/>
        <w:spacing w:after="0" w:line="262" w:lineRule="auto"/>
        <w:tabs>
          <w:tab w:leader="none" w:pos="1282"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Duration of Options. </w:t>
      </w:r>
      <w:r>
        <w:rPr>
          <w:rFonts w:ascii="Arial" w:cs="Arial" w:eastAsia="Arial" w:hAnsi="Arial"/>
          <w:sz w:val="18"/>
          <w:szCs w:val="18"/>
          <w:color w:val="auto"/>
        </w:rPr>
        <w:t>Each Option or Stock Appreciation Right will be exercisable at such times and as specified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Award Agreement, provided that the term of an Option or Stock Appreciation Right will not exceed seven years. Notwithstanding the foregoing but subject to Applicable Laws, an Award Agreement may provide that, in the event that on the last business day of the term of an Option or Stock Appreciation Right (other</w:t>
      </w:r>
    </w:p>
    <w:p>
      <w:pPr>
        <w:sectPr>
          <w:pgSz w:w="11900" w:h="16838" w:orient="portrait"/>
          <w:cols w:equalWidth="0" w:num="1">
            <w:col w:w="10584"/>
          </w:cols>
          <w:pgMar w:left="976" w:top="998" w:right="339" w:bottom="1440" w:gutter="0" w:footer="0" w:header="0"/>
        </w:sectPr>
      </w:pPr>
    </w:p>
    <w:bookmarkStart w:id="9" w:name="page10"/>
    <w:bookmarkEnd w:id="9"/>
    <w:p>
      <w:pPr>
        <w:jc w:val="both"/>
        <w:spacing w:after="0" w:line="262" w:lineRule="auto"/>
        <w:rPr>
          <w:sz w:val="20"/>
          <w:szCs w:val="20"/>
          <w:color w:val="auto"/>
        </w:rPr>
      </w:pPr>
      <w:r>
        <w:rPr>
          <w:rFonts w:ascii="Arial" w:cs="Arial" w:eastAsia="Arial" w:hAnsi="Arial"/>
          <w:sz w:val="18"/>
          <w:szCs w:val="18"/>
          <w:color w:val="auto"/>
        </w:rPr>
        <w:t>than an Incentive Stock Option), (i) the exercise of the Option or Stock Appreciation Right is prohibited by Applicable Laws or (ii) Shares may not be purchased or sold by certain employees or directors of the Company due to the “black-out period” of a Company policy or “lock-up” agreement undertaken in connection with an issuance of securities by the Company, the term of such Option or Stock Appreciation Right shall be extended for a period of 30 days following the end of the legal prohibition, black-out period or lock-up agreement.</w:t>
      </w:r>
    </w:p>
    <w:p>
      <w:pPr>
        <w:spacing w:after="0" w:line="68" w:lineRule="exact"/>
        <w:rPr>
          <w:sz w:val="20"/>
          <w:szCs w:val="20"/>
          <w:color w:val="auto"/>
        </w:rPr>
      </w:pPr>
    </w:p>
    <w:p>
      <w:pPr>
        <w:jc w:val="both"/>
        <w:ind w:firstLine="1304"/>
        <w:spacing w:after="0" w:line="253" w:lineRule="auto"/>
        <w:tabs>
          <w:tab w:leader="none" w:pos="1934" w:val="left"/>
        </w:tabs>
        <w:numPr>
          <w:ilvl w:val="1"/>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Exercise; Notification of Disposition. </w:t>
      </w:r>
      <w:r>
        <w:rPr>
          <w:rFonts w:ascii="Arial" w:cs="Arial" w:eastAsia="Arial" w:hAnsi="Arial"/>
          <w:sz w:val="18"/>
          <w:szCs w:val="18"/>
          <w:color w:val="auto"/>
        </w:rPr>
        <w:t>Options and Stock Appreciation Rights may be exercised by delivering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 written notice of exercise, in a form the Administrator approves (which may be electronic), signed by the person authorized to exercise the Option or Stock Appreciation Right, together with, as applicable, payment in full (i) as specified in Section 5(e) for the number of Shares for which the Award is exercised and (ii) as specified in Section 9(e) for any applicable withholding taxes. Unless the Administrator otherwise determines, an Option or Stock Appreciation Right may not be exercised for a fraction of a Share. Notwithstanding the foregoing but subject to Applicable Laws, an Award Agreement may provide that, if on the last day of the term of an Option or Stock Appreciation Right the Fair Market Value of one Share exceeds the per Share exercise price of such Option or Stock Appreciation Right, and the Participant has not exercised the Option or Stock Appreciation Right, such Option or Stock Appreciation Right shall be deemed to have been exercised by the Participant on such day with payment made by withholding Shares otherwise issuable in connection with the exercise of such Option or Stock Appreciation Right. In such event, the Company shall deliver to the Participant the number of Shares for which the Option or Stock Appreciation Right was deemed exercised, less the number of Shares required to be withheld for the payment of the total purchase price and applicable taxes; provided, however, that any fractional Share (if permitted) shall be settled in cash.</w:t>
      </w:r>
    </w:p>
    <w:p>
      <w:pPr>
        <w:spacing w:after="0" w:line="81" w:lineRule="exact"/>
        <w:rPr>
          <w:rFonts w:ascii="Arial" w:cs="Arial" w:eastAsia="Arial" w:hAnsi="Arial"/>
          <w:sz w:val="18"/>
          <w:szCs w:val="18"/>
          <w:color w:val="auto"/>
        </w:rPr>
      </w:pPr>
    </w:p>
    <w:p>
      <w:pPr>
        <w:ind w:firstLine="1304"/>
        <w:spacing w:after="0" w:line="287" w:lineRule="auto"/>
        <w:tabs>
          <w:tab w:leader="none" w:pos="1934" w:val="left"/>
        </w:tabs>
        <w:numPr>
          <w:ilvl w:val="1"/>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Payment Upon Exercise. </w:t>
      </w:r>
      <w:r>
        <w:rPr>
          <w:rFonts w:ascii="Arial" w:cs="Arial" w:eastAsia="Arial" w:hAnsi="Arial"/>
          <w:sz w:val="18"/>
          <w:szCs w:val="18"/>
          <w:color w:val="auto"/>
        </w:rPr>
        <w:t>The exercise price of an Option must be paid in cash or by check payable to the order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or, subject to Section 10(h), any Company insider trading policy (including blackout periods) and Applicable Laws, by:</w:t>
      </w:r>
    </w:p>
    <w:p>
      <w:pPr>
        <w:spacing w:after="0" w:line="44" w:lineRule="exact"/>
        <w:rPr>
          <w:rFonts w:ascii="Arial" w:cs="Arial" w:eastAsia="Arial" w:hAnsi="Arial"/>
          <w:sz w:val="18"/>
          <w:szCs w:val="18"/>
          <w:color w:val="auto"/>
        </w:rPr>
      </w:pPr>
    </w:p>
    <w:p>
      <w:pPr>
        <w:ind w:left="2600" w:hanging="648"/>
        <w:spacing w:after="0"/>
        <w:tabs>
          <w:tab w:leader="none" w:pos="2600" w:val="left"/>
        </w:tabs>
        <w:numPr>
          <w:ilvl w:val="2"/>
          <w:numId w:val="8"/>
        </w:numPr>
        <w:rPr>
          <w:rFonts w:ascii="Arial" w:cs="Arial" w:eastAsia="Arial" w:hAnsi="Arial"/>
          <w:sz w:val="18"/>
          <w:szCs w:val="18"/>
          <w:color w:val="auto"/>
        </w:rPr>
      </w:pPr>
      <w:r>
        <w:rPr>
          <w:rFonts w:ascii="Arial" w:cs="Arial" w:eastAsia="Arial" w:hAnsi="Arial"/>
          <w:sz w:val="18"/>
          <w:szCs w:val="18"/>
          <w:color w:val="auto"/>
        </w:rPr>
        <w:t>if there is a public market for Shares at the time of exercise, unless the Administrator otherwise determines,</w:t>
      </w:r>
    </w:p>
    <w:p>
      <w:pPr>
        <w:spacing w:after="0" w:line="27" w:lineRule="exact"/>
        <w:rPr>
          <w:rFonts w:ascii="Arial" w:cs="Arial" w:eastAsia="Arial" w:hAnsi="Arial"/>
          <w:sz w:val="18"/>
          <w:szCs w:val="18"/>
          <w:color w:val="auto"/>
        </w:rPr>
      </w:pPr>
    </w:p>
    <w:p>
      <w:pPr>
        <w:jc w:val="both"/>
        <w:ind w:left="660" w:hanging="4"/>
        <w:spacing w:after="0" w:line="255" w:lineRule="auto"/>
        <w:tabs>
          <w:tab w:leader="none" w:pos="963"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delivery (including telephonically to the extent permitted by the Company) of an irrevocable and unconditional undertaking by a broker acceptable to the Company to deliver promptly to the Company sufficient funds to pay the exercise price, or (B) the Participant’s delivery to the Company of a copy of irrevocable and unconditional instructions to a broker acceptable to the Company to deliver promptly to the Company cash or a check sufficient to pay the exercise price;</w:t>
      </w:r>
    </w:p>
    <w:p>
      <w:pPr>
        <w:spacing w:after="0" w:line="74" w:lineRule="exact"/>
        <w:rPr>
          <w:rFonts w:ascii="Arial" w:cs="Arial" w:eastAsia="Arial" w:hAnsi="Arial"/>
          <w:sz w:val="18"/>
          <w:szCs w:val="18"/>
          <w:color w:val="auto"/>
        </w:rPr>
      </w:pPr>
    </w:p>
    <w:p>
      <w:pPr>
        <w:jc w:val="both"/>
        <w:ind w:left="660" w:firstLine="1292"/>
        <w:spacing w:after="0" w:line="262" w:lineRule="auto"/>
        <w:tabs>
          <w:tab w:leader="none" w:pos="2601" w:val="left"/>
        </w:tabs>
        <w:numPr>
          <w:ilvl w:val="2"/>
          <w:numId w:val="9"/>
        </w:numPr>
        <w:rPr>
          <w:rFonts w:ascii="Arial" w:cs="Arial" w:eastAsia="Arial" w:hAnsi="Arial"/>
          <w:sz w:val="18"/>
          <w:szCs w:val="18"/>
          <w:color w:val="auto"/>
        </w:rPr>
      </w:pPr>
      <w:r>
        <w:rPr>
          <w:rFonts w:ascii="Arial" w:cs="Arial" w:eastAsia="Arial" w:hAnsi="Arial"/>
          <w:sz w:val="18"/>
          <w:szCs w:val="18"/>
          <w:color w:val="auto"/>
        </w:rPr>
        <w:t>delivery (either by actual delivery or attestation) of Shares owned by the Participant valued at their Fair Market Value, provided (A) such payment method is then permitted under Applicable Laws, (B) such Shares, if acquired directly from the Company, were owned by the Participant for a minimum time period that the Company may establish and (C) such Shares are not subject to repurchase, forfeiture, unfulfilled vesting or other similar requirements;</w:t>
      </w:r>
    </w:p>
    <w:p>
      <w:pPr>
        <w:spacing w:after="0" w:line="68" w:lineRule="exact"/>
        <w:rPr>
          <w:rFonts w:ascii="Arial" w:cs="Arial" w:eastAsia="Arial" w:hAnsi="Arial"/>
          <w:sz w:val="18"/>
          <w:szCs w:val="18"/>
          <w:color w:val="auto"/>
        </w:rPr>
      </w:pPr>
    </w:p>
    <w:p>
      <w:pPr>
        <w:ind w:left="2600" w:hanging="648"/>
        <w:spacing w:after="0"/>
        <w:tabs>
          <w:tab w:leader="none" w:pos="2600" w:val="left"/>
        </w:tabs>
        <w:numPr>
          <w:ilvl w:val="2"/>
          <w:numId w:val="9"/>
        </w:numPr>
        <w:rPr>
          <w:rFonts w:ascii="Arial" w:cs="Arial" w:eastAsia="Arial" w:hAnsi="Arial"/>
          <w:sz w:val="18"/>
          <w:szCs w:val="18"/>
          <w:color w:val="auto"/>
        </w:rPr>
      </w:pPr>
      <w:r>
        <w:rPr>
          <w:rFonts w:ascii="Arial" w:cs="Arial" w:eastAsia="Arial" w:hAnsi="Arial"/>
          <w:sz w:val="18"/>
          <w:szCs w:val="18"/>
          <w:color w:val="auto"/>
        </w:rPr>
        <w:t>surrendering Shares then issuable upon the Option’s exercise valued at their Fair Market Value on the</w:t>
      </w:r>
    </w:p>
    <w:p>
      <w:pPr>
        <w:spacing w:after="0" w:line="2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exercise date;</w:t>
      </w:r>
    </w:p>
    <w:p>
      <w:pPr>
        <w:spacing w:after="0" w:line="99" w:lineRule="exact"/>
        <w:rPr>
          <w:rFonts w:ascii="Arial" w:cs="Arial" w:eastAsia="Arial" w:hAnsi="Arial"/>
          <w:sz w:val="18"/>
          <w:szCs w:val="18"/>
          <w:color w:val="auto"/>
        </w:rPr>
      </w:pPr>
    </w:p>
    <w:p>
      <w:pPr>
        <w:ind w:left="660" w:firstLine="1292"/>
        <w:spacing w:after="0" w:line="287" w:lineRule="auto"/>
        <w:tabs>
          <w:tab w:leader="none" w:pos="2597" w:val="left"/>
        </w:tabs>
        <w:numPr>
          <w:ilvl w:val="2"/>
          <w:numId w:val="9"/>
        </w:numPr>
        <w:rPr>
          <w:rFonts w:ascii="Arial" w:cs="Arial" w:eastAsia="Arial" w:hAnsi="Arial"/>
          <w:sz w:val="18"/>
          <w:szCs w:val="18"/>
          <w:color w:val="auto"/>
        </w:rPr>
      </w:pPr>
      <w:r>
        <w:rPr>
          <w:rFonts w:ascii="Arial" w:cs="Arial" w:eastAsia="Arial" w:hAnsi="Arial"/>
          <w:sz w:val="18"/>
          <w:szCs w:val="18"/>
          <w:color w:val="auto"/>
        </w:rPr>
        <w:t>to the extent permitted by the Administrator, delivery of a promissory note or any other property that the Administrator determines is good and valuable consideration; or</w:t>
      </w:r>
    </w:p>
    <w:p>
      <w:pPr>
        <w:spacing w:after="0" w:line="44" w:lineRule="exact"/>
        <w:rPr>
          <w:rFonts w:ascii="Arial" w:cs="Arial" w:eastAsia="Arial" w:hAnsi="Arial"/>
          <w:sz w:val="18"/>
          <w:szCs w:val="18"/>
          <w:color w:val="auto"/>
        </w:rPr>
      </w:pPr>
    </w:p>
    <w:p>
      <w:pPr>
        <w:ind w:left="2600" w:hanging="648"/>
        <w:spacing w:after="0"/>
        <w:tabs>
          <w:tab w:leader="none" w:pos="2600" w:val="left"/>
        </w:tabs>
        <w:numPr>
          <w:ilvl w:val="2"/>
          <w:numId w:val="9"/>
        </w:numPr>
        <w:rPr>
          <w:rFonts w:ascii="Arial" w:cs="Arial" w:eastAsia="Arial" w:hAnsi="Arial"/>
          <w:sz w:val="18"/>
          <w:szCs w:val="18"/>
          <w:color w:val="auto"/>
        </w:rPr>
      </w:pPr>
      <w:r>
        <w:rPr>
          <w:rFonts w:ascii="Arial" w:cs="Arial" w:eastAsia="Arial" w:hAnsi="Arial"/>
          <w:sz w:val="18"/>
          <w:szCs w:val="18"/>
          <w:color w:val="auto"/>
        </w:rPr>
        <w:t>any combination of the above permitted payment forms (including cash or check).</w:t>
      </w:r>
    </w:p>
    <w:p>
      <w:pPr>
        <w:spacing w:after="0" w:line="117" w:lineRule="exact"/>
        <w:rPr>
          <w:rFonts w:ascii="Arial" w:cs="Arial" w:eastAsia="Arial" w:hAnsi="Arial"/>
          <w:sz w:val="18"/>
          <w:szCs w:val="18"/>
          <w:color w:val="auto"/>
        </w:rPr>
      </w:pPr>
    </w:p>
    <w:p>
      <w:pPr>
        <w:jc w:val="both"/>
        <w:ind w:firstLine="1304"/>
        <w:spacing w:after="0" w:line="253" w:lineRule="auto"/>
        <w:tabs>
          <w:tab w:leader="none" w:pos="1938" w:val="left"/>
        </w:tabs>
        <w:numPr>
          <w:ilvl w:val="1"/>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Additional Terms of Incentive Stock Options. </w:t>
      </w:r>
      <w:r>
        <w:rPr>
          <w:rFonts w:ascii="Arial" w:cs="Arial" w:eastAsia="Arial" w:hAnsi="Arial"/>
          <w:sz w:val="18"/>
          <w:szCs w:val="18"/>
          <w:color w:val="auto"/>
        </w:rPr>
        <w:t>The Administrator may grant Options intended to qualify as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Stock Options only to employees of the Company, any of its present or future “parent corporations” or “subsidiary corporations” as defined in Sections 424(e) or (f) of the Code, respectively, and any other entities the employees of which are eligible to receive Incentive Stock Options under the Code. No person qualifying as a Greater Than 10% Stockholder may be granted an Incentive Stock Option, unless such Incentive Stock Option conforms to Section 422 of the Code. If an Incentive Stock Option is granted to a Greater Than 10% Stockholder, the exercise price will not be less than 110% of the Fair Market Value on the Option’s grant date, and the term of the Option will not exceed five years. The Administrator may modify an Incentive Stock Option with the holder’s consent to disqualify such Option as an Incentive Stock Option. All Options intended to qualify as Incentive Stock Options will be subject to and construed consistently with Section 422 of the Code. By accepting an Incentive Stock Option, the Participant agrees to give prompt notice to the Company of dispositions or other transfers (other than in connection with a Change in Control) of Shares acquired from the Option made within (i) two years from the grant date of the Option or (ii) one year after the transfer of such Shares to the Participant, specifying the date of the disposition or other transfer and the amount the Participant realized, in cash, other property, assumption of indebtedness or other consideration, in such disposition or other transfer. Neither the Company nor the Administrator will be liable to a Participant, or any other party, (i) if an Option (or any part thereof) intended to</w:t>
      </w:r>
    </w:p>
    <w:p>
      <w:pPr>
        <w:sectPr>
          <w:pgSz w:w="11900" w:h="16838" w:orient="portrait"/>
          <w:cols w:equalWidth="0" w:num="1">
            <w:col w:w="11240"/>
          </w:cols>
          <w:pgMar w:left="320" w:top="998" w:right="339" w:bottom="1440" w:gutter="0" w:footer="0" w:header="0"/>
        </w:sectPr>
      </w:pPr>
    </w:p>
    <w:bookmarkStart w:id="10" w:name="page11"/>
    <w:bookmarkEnd w:id="10"/>
    <w:p>
      <w:pPr>
        <w:jc w:val="both"/>
        <w:spacing w:after="0" w:line="257" w:lineRule="auto"/>
        <w:rPr>
          <w:sz w:val="20"/>
          <w:szCs w:val="20"/>
          <w:color w:val="auto"/>
        </w:rPr>
      </w:pPr>
      <w:r>
        <w:rPr>
          <w:rFonts w:ascii="Arial" w:cs="Arial" w:eastAsia="Arial" w:hAnsi="Arial"/>
          <w:sz w:val="18"/>
          <w:szCs w:val="18"/>
          <w:color w:val="auto"/>
        </w:rPr>
        <w:t>qualify as an Incentive Stock Option fails to qualify as an Incentive Stock Option or (ii) for the Administrator’s actions or omissions that cause an Option not to qualify as an Incentive Stock Option, including the conversion of an Incentive Stock Option to a Non-Qualified Stock Option or the grant of an Option intended as an Incentive Stock Option that fails to qualify as an Incentive Stock Option. Any Option that is intended to qualify as an Incentive Stock Option, but fails to qualify for any reason, including the portion of any Option becoming exercisable with respect to Shares having a fair market value exceeding the $100,000 limitation under Treasury Regulation Section 1.422-4, will be a Non-Qualified Stock Option.</w:t>
      </w:r>
    </w:p>
    <w:p>
      <w:pPr>
        <w:spacing w:after="0" w:line="76"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Restricted Stock; Restricted Stock Units</w:t>
      </w:r>
      <w:r>
        <w:rPr>
          <w:rFonts w:ascii="Arial" w:cs="Arial" w:eastAsia="Arial" w:hAnsi="Arial"/>
          <w:sz w:val="18"/>
          <w:szCs w:val="18"/>
          <w:i w:val="1"/>
          <w:iCs w:val="1"/>
          <w:color w:val="auto"/>
        </w:rPr>
        <w:t>.</w:t>
      </w:r>
    </w:p>
    <w:p>
      <w:pPr>
        <w:spacing w:after="0" w:line="115" w:lineRule="exact"/>
        <w:rPr>
          <w:rFonts w:ascii="Arial" w:cs="Arial" w:eastAsia="Arial" w:hAnsi="Arial"/>
          <w:sz w:val="18"/>
          <w:szCs w:val="18"/>
          <w:color w:val="auto"/>
        </w:rPr>
      </w:pPr>
    </w:p>
    <w:p>
      <w:pPr>
        <w:jc w:val="both"/>
        <w:ind w:firstLine="1304"/>
        <w:spacing w:after="0" w:line="255" w:lineRule="auto"/>
        <w:tabs>
          <w:tab w:leader="none" w:pos="1934" w:val="left"/>
        </w:tabs>
        <w:numPr>
          <w:ilvl w:val="2"/>
          <w:numId w:val="10"/>
        </w:numPr>
        <w:rPr>
          <w:rFonts w:ascii="Arial" w:cs="Arial" w:eastAsia="Arial" w:hAnsi="Arial"/>
          <w:sz w:val="18"/>
          <w:szCs w:val="18"/>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The Administrator may grant Restricted Stock, or the right to purchase Restricted Stock, to any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Provider, subject to the Company’s right to repurchase all or part of such Shares at their issue price or other stated or formula price from the Participant (or to require forfeiture of such Shares if issued at no cost) if conditions the Administrator specifies in the Award Agreement are not satisfied before the end of the applicable restriction period or periods that the Administrator establishes for such Award. In addition, the Administrator may grant to Service Providers Restricted Stock Units, which may be subject to vesting and forfeiture conditions during the applicable restriction period or periods, as set forth in an Award Agreement. The Administrator will determine and set forth in the Award Agreement the terms and conditions for each Restricted Stock and Restricted Stock Unit Award, subject to the conditions and limitations contained in the Plan.</w:t>
      </w:r>
    </w:p>
    <w:p>
      <w:pPr>
        <w:spacing w:after="0" w:line="76" w:lineRule="exact"/>
        <w:rPr>
          <w:rFonts w:ascii="Arial" w:cs="Arial" w:eastAsia="Arial" w:hAnsi="Arial"/>
          <w:sz w:val="18"/>
          <w:szCs w:val="18"/>
          <w:color w:val="auto"/>
        </w:rPr>
      </w:pPr>
    </w:p>
    <w:p>
      <w:pPr>
        <w:ind w:left="1940" w:hanging="636"/>
        <w:spacing w:after="0"/>
        <w:tabs>
          <w:tab w:leader="none" w:pos="1940" w:val="left"/>
        </w:tabs>
        <w:numPr>
          <w:ilvl w:val="2"/>
          <w:numId w:val="10"/>
        </w:numPr>
        <w:rPr>
          <w:rFonts w:ascii="Arial" w:cs="Arial" w:eastAsia="Arial" w:hAnsi="Arial"/>
          <w:sz w:val="18"/>
          <w:szCs w:val="18"/>
          <w:color w:val="auto"/>
        </w:rPr>
      </w:pPr>
      <w:r>
        <w:rPr>
          <w:rFonts w:ascii="Arial" w:cs="Arial" w:eastAsia="Arial" w:hAnsi="Arial"/>
          <w:sz w:val="18"/>
          <w:szCs w:val="18"/>
          <w:i w:val="1"/>
          <w:iCs w:val="1"/>
          <w:color w:val="auto"/>
        </w:rPr>
        <w:t>Restricted Stock</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660" w:firstLine="1292"/>
        <w:spacing w:after="0" w:line="255" w:lineRule="auto"/>
        <w:tabs>
          <w:tab w:leader="none" w:pos="2602" w:val="left"/>
        </w:tabs>
        <w:numPr>
          <w:ilvl w:val="3"/>
          <w:numId w:val="10"/>
        </w:numPr>
        <w:rPr>
          <w:rFonts w:ascii="Arial" w:cs="Arial" w:eastAsia="Arial" w:hAnsi="Arial"/>
          <w:sz w:val="18"/>
          <w:szCs w:val="18"/>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Participants holding Shares of Restricted Stock will be entitled to all ordinary cash dividends paid</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such Shares, unless the Administrator provides otherwise in the Award Agreement. In addition, unless the Administrator provides otherwise, if any dividends or distributions are paid in Shares, or consist of a dividend or distribution to holders of Common Stock of property other than an ordinary cash dividend, the Shares or other property will be subject to the same restrictions on transferability and forfeitability as the Shares of Restricted Stock with respect to which they were paid. Notwithstanding anything to the contrary herein, with respect to any award of Restricted Stock, dividends which are paid to holders of Common Stock prior to vesting shall only be paid out to the Participant holding such Restricted Stock to the extent that the vesting conditions are subsequently satisfied. All such dividend payments will be made no later than March 15 of the calendar year following the calendar year in which the right to the dividend payment becomes nonforfeitable.</w:t>
      </w:r>
    </w:p>
    <w:p>
      <w:pPr>
        <w:spacing w:after="0" w:line="72" w:lineRule="exact"/>
        <w:rPr>
          <w:rFonts w:ascii="Arial" w:cs="Arial" w:eastAsia="Arial" w:hAnsi="Arial"/>
          <w:sz w:val="18"/>
          <w:szCs w:val="18"/>
          <w:color w:val="auto"/>
        </w:rPr>
      </w:pPr>
    </w:p>
    <w:p>
      <w:pPr>
        <w:ind w:left="660" w:firstLine="1292"/>
        <w:spacing w:after="0" w:line="287" w:lineRule="auto"/>
        <w:tabs>
          <w:tab w:leader="none" w:pos="2601" w:val="left"/>
        </w:tabs>
        <w:numPr>
          <w:ilvl w:val="3"/>
          <w:numId w:val="10"/>
        </w:numPr>
        <w:rPr>
          <w:rFonts w:ascii="Arial" w:cs="Arial" w:eastAsia="Arial" w:hAnsi="Arial"/>
          <w:sz w:val="18"/>
          <w:szCs w:val="18"/>
          <w:color w:val="auto"/>
        </w:rPr>
      </w:pPr>
      <w:r>
        <w:rPr>
          <w:rFonts w:ascii="Arial" w:cs="Arial" w:eastAsia="Arial" w:hAnsi="Arial"/>
          <w:sz w:val="18"/>
          <w:szCs w:val="18"/>
          <w:i w:val="1"/>
          <w:iCs w:val="1"/>
          <w:color w:val="auto"/>
        </w:rPr>
        <w:t>Stock Certificates</w:t>
      </w:r>
      <w:r>
        <w:rPr>
          <w:rFonts w:ascii="Arial" w:cs="Arial" w:eastAsia="Arial" w:hAnsi="Arial"/>
          <w:sz w:val="18"/>
          <w:szCs w:val="18"/>
          <w:color w:val="auto"/>
        </w:rPr>
        <w:t>. The Company may require that the Participant deposit in escrow with the Company (or its</w:t>
      </w:r>
      <w:r>
        <w:rPr>
          <w:rFonts w:ascii="Arial" w:cs="Arial" w:eastAsia="Arial" w:hAnsi="Arial"/>
          <w:sz w:val="18"/>
          <w:szCs w:val="18"/>
          <w:i w:val="1"/>
          <w:iCs w:val="1"/>
          <w:color w:val="auto"/>
        </w:rPr>
        <w:t xml:space="preserve"> </w:t>
      </w:r>
      <w:r>
        <w:rPr>
          <w:rFonts w:ascii="Arial" w:cs="Arial" w:eastAsia="Arial" w:hAnsi="Arial"/>
          <w:sz w:val="18"/>
          <w:szCs w:val="18"/>
          <w:color w:val="auto"/>
        </w:rPr>
        <w:t>designee) any stock certificates issued in respect of Shares of Restricted Stock, together with a stock power endorsed in blank.</w:t>
      </w:r>
    </w:p>
    <w:p>
      <w:pPr>
        <w:spacing w:after="0" w:line="44" w:lineRule="exact"/>
        <w:rPr>
          <w:rFonts w:ascii="Arial" w:cs="Arial" w:eastAsia="Arial" w:hAnsi="Arial"/>
          <w:sz w:val="18"/>
          <w:szCs w:val="18"/>
          <w:color w:val="auto"/>
        </w:rPr>
      </w:pPr>
    </w:p>
    <w:p>
      <w:pPr>
        <w:ind w:left="1940" w:hanging="636"/>
        <w:spacing w:after="0"/>
        <w:tabs>
          <w:tab w:leader="none" w:pos="1940" w:val="left"/>
        </w:tabs>
        <w:numPr>
          <w:ilvl w:val="2"/>
          <w:numId w:val="10"/>
        </w:numPr>
        <w:rPr>
          <w:rFonts w:ascii="Arial" w:cs="Arial" w:eastAsia="Arial" w:hAnsi="Arial"/>
          <w:sz w:val="18"/>
          <w:szCs w:val="18"/>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660" w:firstLine="1292"/>
        <w:spacing w:after="0" w:line="259" w:lineRule="auto"/>
        <w:tabs>
          <w:tab w:leader="none" w:pos="2602" w:val="left"/>
        </w:tabs>
        <w:numPr>
          <w:ilvl w:val="3"/>
          <w:numId w:val="10"/>
        </w:numPr>
        <w:rPr>
          <w:rFonts w:ascii="Arial" w:cs="Arial" w:eastAsia="Arial" w:hAnsi="Arial"/>
          <w:sz w:val="18"/>
          <w:szCs w:val="18"/>
          <w:color w:val="auto"/>
        </w:rPr>
      </w:pPr>
      <w:r>
        <w:rPr>
          <w:rFonts w:ascii="Arial" w:cs="Arial" w:eastAsia="Arial" w:hAnsi="Arial"/>
          <w:sz w:val="18"/>
          <w:szCs w:val="18"/>
          <w:i w:val="1"/>
          <w:iCs w:val="1"/>
          <w:color w:val="auto"/>
        </w:rPr>
        <w:t>Settlement</w:t>
      </w:r>
      <w:r>
        <w:rPr>
          <w:rFonts w:ascii="Arial" w:cs="Arial" w:eastAsia="Arial" w:hAnsi="Arial"/>
          <w:sz w:val="18"/>
          <w:szCs w:val="18"/>
          <w:color w:val="auto"/>
        </w:rPr>
        <w:t>. When a Restricted Stock Unit vests, the Participant will be entitled to receive from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one Share, an amount of cash or other property equal to the Fair Market Value of one Share on the settlement date or a combination of both, as the Administrator determines and as provided in the Award Agreement. The Administrator may provide that settlement of Restricted Stock Units will occur upon or as soon as reasonably practicable after the Restricted Stock Units vest or will instead be deferred, on a mandatory basis or at the Participant’s election, in a manner intended to comply with Section 409A.</w:t>
      </w:r>
    </w:p>
    <w:p>
      <w:pPr>
        <w:spacing w:after="0" w:line="71" w:lineRule="exact"/>
        <w:rPr>
          <w:rFonts w:ascii="Arial" w:cs="Arial" w:eastAsia="Arial" w:hAnsi="Arial"/>
          <w:sz w:val="18"/>
          <w:szCs w:val="18"/>
          <w:color w:val="auto"/>
        </w:rPr>
      </w:pPr>
    </w:p>
    <w:p>
      <w:pPr>
        <w:ind w:left="660" w:firstLine="1292"/>
        <w:spacing w:after="0" w:line="287" w:lineRule="auto"/>
        <w:tabs>
          <w:tab w:leader="none" w:pos="2601" w:val="left"/>
        </w:tabs>
        <w:numPr>
          <w:ilvl w:val="3"/>
          <w:numId w:val="10"/>
        </w:numPr>
        <w:rPr>
          <w:rFonts w:ascii="Arial" w:cs="Arial" w:eastAsia="Arial" w:hAnsi="Arial"/>
          <w:sz w:val="18"/>
          <w:szCs w:val="18"/>
          <w:color w:val="auto"/>
        </w:rPr>
      </w:pPr>
      <w:r>
        <w:rPr>
          <w:rFonts w:ascii="Arial" w:cs="Arial" w:eastAsia="Arial" w:hAnsi="Arial"/>
          <w:sz w:val="18"/>
          <w:szCs w:val="18"/>
          <w:i w:val="1"/>
          <w:iCs w:val="1"/>
          <w:color w:val="auto"/>
        </w:rPr>
        <w:t>Stockholder Rights</w:t>
      </w:r>
      <w:r>
        <w:rPr>
          <w:rFonts w:ascii="Arial" w:cs="Arial" w:eastAsia="Arial" w:hAnsi="Arial"/>
          <w:sz w:val="18"/>
          <w:szCs w:val="18"/>
          <w:color w:val="auto"/>
        </w:rPr>
        <w:t>. A Participant will have no rights of a stockholder with respect to Shares subject to any</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Unit unless and until the Shares are delivered in settlement of the Restricted Stock Unit.</w:t>
      </w:r>
    </w:p>
    <w:p>
      <w:pPr>
        <w:spacing w:after="0" w:line="46"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Other Stock or Cash Based Awards; Dividend Equivalents</w:t>
      </w:r>
      <w:r>
        <w:rPr>
          <w:rFonts w:ascii="Arial" w:cs="Arial" w:eastAsia="Arial" w:hAnsi="Arial"/>
          <w:sz w:val="18"/>
          <w:szCs w:val="18"/>
          <w:i w:val="1"/>
          <w:iCs w:val="1"/>
          <w:color w:val="auto"/>
        </w:rPr>
        <w:t>.</w:t>
      </w:r>
    </w:p>
    <w:p>
      <w:pPr>
        <w:spacing w:after="0" w:line="115" w:lineRule="exact"/>
        <w:rPr>
          <w:rFonts w:ascii="Arial" w:cs="Arial" w:eastAsia="Arial" w:hAnsi="Arial"/>
          <w:sz w:val="18"/>
          <w:szCs w:val="18"/>
          <w:color w:val="auto"/>
        </w:rPr>
      </w:pPr>
    </w:p>
    <w:p>
      <w:pPr>
        <w:jc w:val="both"/>
        <w:ind w:firstLine="867"/>
        <w:spacing w:after="0" w:line="255" w:lineRule="auto"/>
        <w:tabs>
          <w:tab w:leader="none" w:pos="1289" w:val="left"/>
        </w:tabs>
        <w:numPr>
          <w:ilvl w:val="1"/>
          <w:numId w:val="10"/>
        </w:numPr>
        <w:rPr>
          <w:rFonts w:ascii="Arial" w:cs="Arial" w:eastAsia="Arial" w:hAnsi="Arial"/>
          <w:sz w:val="18"/>
          <w:szCs w:val="18"/>
          <w:color w:val="auto"/>
        </w:rPr>
      </w:pPr>
      <w:r>
        <w:rPr>
          <w:rFonts w:ascii="Arial" w:cs="Arial" w:eastAsia="Arial" w:hAnsi="Arial"/>
          <w:sz w:val="18"/>
          <w:szCs w:val="18"/>
          <w:color w:val="auto"/>
        </w:rPr>
        <w:t>Other Stock or Cash Based Awards may be granted to Participants, including Awards entitling Participants to receive Shares to be delivered in the future and including annual or other periodic or long-term cash bonus awards (whether based on specified Performance Criteria or otherwise), in each case subject to the conditions and limitations in the Plan. Such Other Stock or Cash Based Awards will also be available as a payment form in the settlement of other Awards, as standalone payments and as payment in lieu of compensation to which a Participant is otherwise entitled. Other Stock or Cash Based Awards may be paid in Shares, cash or other property, as the Administrator determines. Subject to the provisions of the Plan, the Administrator will determine the terms and conditions of each Other Stock or Cash Based Award, including any purchase price, performance goal (which may be based on the Performance Criteria), transfer restrictions, and vesting conditions, which will be set forth in the applicable Award Agreement.</w:t>
      </w:r>
    </w:p>
    <w:p>
      <w:pPr>
        <w:sectPr>
          <w:pgSz w:w="11900" w:h="16838" w:orient="portrait"/>
          <w:cols w:equalWidth="0" w:num="1">
            <w:col w:w="11240"/>
          </w:cols>
          <w:pgMar w:left="320" w:top="998" w:right="339" w:bottom="1440" w:gutter="0" w:footer="0" w:header="0"/>
        </w:sectPr>
      </w:pPr>
    </w:p>
    <w:bookmarkStart w:id="11" w:name="page12"/>
    <w:bookmarkEnd w:id="11"/>
    <w:p>
      <w:pPr>
        <w:jc w:val="both"/>
        <w:ind w:left="-656" w:firstLine="1304"/>
        <w:spacing w:after="0" w:line="255" w:lineRule="auto"/>
        <w:tabs>
          <w:tab w:leader="none" w:pos="1073" w:val="left"/>
        </w:tabs>
        <w:numPr>
          <w:ilvl w:val="1"/>
          <w:numId w:val="11"/>
        </w:numPr>
        <w:rPr>
          <w:rFonts w:ascii="Arial" w:cs="Arial" w:eastAsia="Arial" w:hAnsi="Arial"/>
          <w:sz w:val="18"/>
          <w:szCs w:val="18"/>
          <w:color w:val="auto"/>
        </w:rPr>
      </w:pPr>
      <w:r>
        <w:rPr>
          <w:rFonts w:ascii="Arial" w:cs="Arial" w:eastAsia="Arial" w:hAnsi="Arial"/>
          <w:sz w:val="18"/>
          <w:szCs w:val="18"/>
          <w:i w:val="1"/>
          <w:iCs w:val="1"/>
          <w:color w:val="auto"/>
        </w:rPr>
        <w:t>Dividend Equivalents</w:t>
      </w:r>
      <w:r>
        <w:rPr>
          <w:rFonts w:ascii="Arial" w:cs="Arial" w:eastAsia="Arial" w:hAnsi="Arial"/>
          <w:sz w:val="18"/>
          <w:szCs w:val="18"/>
          <w:color w:val="auto"/>
        </w:rPr>
        <w:t>. If the Administrator provides, a grant of Restricted Stock Units or an Other Stock or Cash Based</w:t>
      </w:r>
      <w:r>
        <w:rPr>
          <w:rFonts w:ascii="Arial" w:cs="Arial" w:eastAsia="Arial" w:hAnsi="Arial"/>
          <w:sz w:val="18"/>
          <w:szCs w:val="18"/>
          <w:i w:val="1"/>
          <w:iCs w:val="1"/>
          <w:color w:val="auto"/>
        </w:rPr>
        <w:t xml:space="preserve"> </w:t>
      </w:r>
      <w:r>
        <w:rPr>
          <w:rFonts w:ascii="Arial" w:cs="Arial" w:eastAsia="Arial" w:hAnsi="Arial"/>
          <w:sz w:val="18"/>
          <w:szCs w:val="18"/>
          <w:color w:val="auto"/>
        </w:rPr>
        <w:t>Award may provide a Participant with the right to receive Dividend Equivalents, and no Dividend Equivalents shall be payable with respect to Options or Stock Appreciation Rights. Dividend Equivalents may be settled in cash or Shares and subject to the same restrictions on transferability and forfeitability as the Award with respect to which the Dividend Equivalents are paid and subject to other terms and conditions as set forth in the Award Agreement. Notwithstanding anything to the contrary herein, Dividend Equivalents with respect to an Award shall only be paid out to the Participant to the extent that the vesting conditions are subsequently satisfied. All such Dividend Equivalent payments will be made no later than March 15 of the calendar year following the calendar year in which the right to the Dividend Equivalent payment becomes nonforfeitable, unless determined otherwise by the Administrator or unless deferred in a manner intended to comply with Section 409A.</w:t>
      </w:r>
    </w:p>
    <w:p>
      <w:pPr>
        <w:spacing w:after="0" w:line="74" w:lineRule="exact"/>
        <w:rPr>
          <w:rFonts w:ascii="Arial" w:cs="Arial" w:eastAsia="Arial" w:hAnsi="Arial"/>
          <w:sz w:val="18"/>
          <w:szCs w:val="18"/>
          <w:color w:val="auto"/>
        </w:rPr>
      </w:pPr>
    </w:p>
    <w:p>
      <w:pPr>
        <w:ind w:left="644" w:hanging="644"/>
        <w:spacing w:after="0"/>
        <w:tabs>
          <w:tab w:leader="none" w:pos="644"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Adjustments for Changes in Common Stock and Certain Other Events</w:t>
      </w:r>
      <w:r>
        <w:rPr>
          <w:rFonts w:ascii="Arial" w:cs="Arial" w:eastAsia="Arial" w:hAnsi="Arial"/>
          <w:sz w:val="18"/>
          <w:szCs w:val="18"/>
          <w:i w:val="1"/>
          <w:iCs w:val="1"/>
          <w:color w:val="auto"/>
        </w:rPr>
        <w:t>.</w:t>
      </w:r>
    </w:p>
    <w:p>
      <w:pPr>
        <w:spacing w:after="0" w:line="115" w:lineRule="exact"/>
        <w:rPr>
          <w:rFonts w:ascii="Arial" w:cs="Arial" w:eastAsia="Arial" w:hAnsi="Arial"/>
          <w:sz w:val="18"/>
          <w:szCs w:val="18"/>
          <w:color w:val="auto"/>
        </w:rPr>
      </w:pPr>
    </w:p>
    <w:p>
      <w:pPr>
        <w:jc w:val="both"/>
        <w:ind w:left="-656" w:firstLine="1304"/>
        <w:spacing w:after="0" w:line="257" w:lineRule="auto"/>
        <w:tabs>
          <w:tab w:leader="none" w:pos="1278" w:val="left"/>
        </w:tabs>
        <w:numPr>
          <w:ilvl w:val="1"/>
          <w:numId w:val="12"/>
        </w:numPr>
        <w:rPr>
          <w:rFonts w:ascii="Arial" w:cs="Arial" w:eastAsia="Arial" w:hAnsi="Arial"/>
          <w:sz w:val="18"/>
          <w:szCs w:val="18"/>
          <w:color w:val="auto"/>
        </w:rPr>
      </w:pPr>
      <w:r>
        <w:rPr>
          <w:rFonts w:ascii="Arial" w:cs="Arial" w:eastAsia="Arial" w:hAnsi="Arial"/>
          <w:sz w:val="18"/>
          <w:szCs w:val="18"/>
          <w:color w:val="auto"/>
        </w:rPr>
        <w:t>In connection with any Equity Restructuring, notwithstanding anything to the contrary in this Section 8, the Administrator will equitably adjust each outstanding Award as it deems appropriate to reflect the Equity Restructuring, which may include adjusting the number and type of securities subject to each outstanding Award and/or the Award’s exercise price or grant price (if applicable), granting new Awards to Participants, and/or making a cash payment to Participants. The adjustments provided under this Section 8(a) will be nondiscretionary and final and binding on the affected Participant and the Company; provided that the Administrator will determine whether an adjustment is equitable.</w:t>
      </w:r>
    </w:p>
    <w:p>
      <w:pPr>
        <w:spacing w:after="0" w:line="74" w:lineRule="exact"/>
        <w:rPr>
          <w:rFonts w:ascii="Arial" w:cs="Arial" w:eastAsia="Arial" w:hAnsi="Arial"/>
          <w:sz w:val="18"/>
          <w:szCs w:val="18"/>
          <w:color w:val="auto"/>
        </w:rPr>
      </w:pPr>
    </w:p>
    <w:p>
      <w:pPr>
        <w:jc w:val="both"/>
        <w:ind w:left="-656" w:firstLine="1304"/>
        <w:spacing w:after="0" w:line="255" w:lineRule="auto"/>
        <w:tabs>
          <w:tab w:leader="none" w:pos="1278" w:val="left"/>
        </w:tabs>
        <w:numPr>
          <w:ilvl w:val="1"/>
          <w:numId w:val="12"/>
        </w:numPr>
        <w:rPr>
          <w:rFonts w:ascii="Arial" w:cs="Arial" w:eastAsia="Arial" w:hAnsi="Arial"/>
          <w:sz w:val="18"/>
          <w:szCs w:val="18"/>
          <w:color w:val="auto"/>
        </w:rPr>
      </w:pPr>
      <w:r>
        <w:rPr>
          <w:rFonts w:ascii="Arial" w:cs="Arial" w:eastAsia="Arial" w:hAnsi="Arial"/>
          <w:sz w:val="18"/>
          <w:szCs w:val="18"/>
          <w:color w:val="auto"/>
        </w:rPr>
        <w:t>In the event that the Administrator determines that any dividend or other distribution (whether in the form of cash, Shares, other securities, or other property), reorganization, merger, consolidation, combination, repurchase, recapitalization, liquidation, dissolution, or sale, transfer, exchange or other disposition of all or substantially all of the assets of the Company, or sale or exchange of Common Stock or other securities of the Company, Change in Control, issuance of warrants or other rights to purchase Common Stock or other securities of the Company, or other similar corporate transaction or event, as determined by the Administrator, affects the Common Stock such that an adjustment is determined by the Administrator to be appropriate in order to prevent dilution or enlargement of the benefits or potential benefits intended by the Company to be made available under the Plan or with respect to any Award, then the Administrator may, in such manner as it may deem equitable, adjust any or all of:</w:t>
      </w:r>
    </w:p>
    <w:p>
      <w:pPr>
        <w:spacing w:after="0" w:line="76" w:lineRule="exact"/>
        <w:rPr>
          <w:rFonts w:ascii="Arial" w:cs="Arial" w:eastAsia="Arial" w:hAnsi="Arial"/>
          <w:sz w:val="18"/>
          <w:szCs w:val="18"/>
          <w:color w:val="auto"/>
        </w:rPr>
      </w:pPr>
    </w:p>
    <w:p>
      <w:pPr>
        <w:jc w:val="both"/>
        <w:ind w:left="4" w:firstLine="1292"/>
        <w:spacing w:after="0" w:line="262" w:lineRule="auto"/>
        <w:tabs>
          <w:tab w:leader="none" w:pos="1946" w:val="left"/>
        </w:tabs>
        <w:numPr>
          <w:ilvl w:val="2"/>
          <w:numId w:val="12"/>
        </w:numPr>
        <w:rPr>
          <w:rFonts w:ascii="Arial" w:cs="Arial" w:eastAsia="Arial" w:hAnsi="Arial"/>
          <w:sz w:val="18"/>
          <w:szCs w:val="18"/>
          <w:color w:val="auto"/>
        </w:rPr>
      </w:pPr>
      <w:r>
        <w:rPr>
          <w:rFonts w:ascii="Arial" w:cs="Arial" w:eastAsia="Arial" w:hAnsi="Arial"/>
          <w:sz w:val="18"/>
          <w:szCs w:val="18"/>
          <w:color w:val="auto"/>
        </w:rPr>
        <w:t>the number and kind of Shares (or other securities or property) with respect to which Awards may be granted or awarded (including, but not limited to, adjustments of the limitations in Section 4 hereof on the maximum number and kind of shares which may be issued and specifically including for the avoidance of doubt adjustments to the Incentive Stock Options limitation set forth in Section 4(d) and the individual award limitation set forth in Section 4(f));</w:t>
      </w:r>
    </w:p>
    <w:p>
      <w:pPr>
        <w:spacing w:after="0" w:line="68" w:lineRule="exact"/>
        <w:rPr>
          <w:rFonts w:ascii="Arial" w:cs="Arial" w:eastAsia="Arial" w:hAnsi="Arial"/>
          <w:sz w:val="18"/>
          <w:szCs w:val="18"/>
          <w:color w:val="auto"/>
        </w:rPr>
      </w:pPr>
    </w:p>
    <w:p>
      <w:pPr>
        <w:ind w:left="1944" w:hanging="648"/>
        <w:spacing w:after="0"/>
        <w:tabs>
          <w:tab w:leader="none" w:pos="1944" w:val="left"/>
        </w:tabs>
        <w:numPr>
          <w:ilvl w:val="2"/>
          <w:numId w:val="12"/>
        </w:numPr>
        <w:rPr>
          <w:rFonts w:ascii="Arial" w:cs="Arial" w:eastAsia="Arial" w:hAnsi="Arial"/>
          <w:sz w:val="18"/>
          <w:szCs w:val="18"/>
          <w:color w:val="auto"/>
        </w:rPr>
      </w:pPr>
      <w:r>
        <w:rPr>
          <w:rFonts w:ascii="Arial" w:cs="Arial" w:eastAsia="Arial" w:hAnsi="Arial"/>
          <w:sz w:val="18"/>
          <w:szCs w:val="18"/>
          <w:color w:val="auto"/>
        </w:rPr>
        <w:t>the number and kind of Shares (or other securities or property) subject to outstanding Awards;</w:t>
      </w:r>
    </w:p>
    <w:p>
      <w:pPr>
        <w:spacing w:after="0" w:line="117" w:lineRule="exact"/>
        <w:rPr>
          <w:rFonts w:ascii="Arial" w:cs="Arial" w:eastAsia="Arial" w:hAnsi="Arial"/>
          <w:sz w:val="18"/>
          <w:szCs w:val="18"/>
          <w:color w:val="auto"/>
        </w:rPr>
      </w:pPr>
    </w:p>
    <w:p>
      <w:pPr>
        <w:ind w:left="1944" w:hanging="648"/>
        <w:spacing w:after="0"/>
        <w:tabs>
          <w:tab w:leader="none" w:pos="1944" w:val="left"/>
        </w:tabs>
        <w:numPr>
          <w:ilvl w:val="2"/>
          <w:numId w:val="12"/>
        </w:numPr>
        <w:rPr>
          <w:rFonts w:ascii="Arial" w:cs="Arial" w:eastAsia="Arial" w:hAnsi="Arial"/>
          <w:sz w:val="18"/>
          <w:szCs w:val="18"/>
          <w:color w:val="auto"/>
        </w:rPr>
      </w:pPr>
      <w:r>
        <w:rPr>
          <w:rFonts w:ascii="Arial" w:cs="Arial" w:eastAsia="Arial" w:hAnsi="Arial"/>
          <w:sz w:val="18"/>
          <w:szCs w:val="18"/>
          <w:color w:val="auto"/>
        </w:rPr>
        <w:t>the grant or exercise price with respect to any Award; and</w:t>
      </w:r>
    </w:p>
    <w:p>
      <w:pPr>
        <w:spacing w:after="0" w:line="117" w:lineRule="exact"/>
        <w:rPr>
          <w:rFonts w:ascii="Arial" w:cs="Arial" w:eastAsia="Arial" w:hAnsi="Arial"/>
          <w:sz w:val="18"/>
          <w:szCs w:val="18"/>
          <w:color w:val="auto"/>
        </w:rPr>
      </w:pPr>
    </w:p>
    <w:p>
      <w:pPr>
        <w:ind w:left="4" w:right="20" w:firstLine="1292"/>
        <w:spacing w:after="0" w:line="287" w:lineRule="auto"/>
        <w:tabs>
          <w:tab w:leader="none" w:pos="1941" w:val="left"/>
        </w:tabs>
        <w:numPr>
          <w:ilvl w:val="2"/>
          <w:numId w:val="12"/>
        </w:numPr>
        <w:rPr>
          <w:rFonts w:ascii="Arial" w:cs="Arial" w:eastAsia="Arial" w:hAnsi="Arial"/>
          <w:sz w:val="18"/>
          <w:szCs w:val="18"/>
          <w:color w:val="auto"/>
        </w:rPr>
      </w:pPr>
      <w:r>
        <w:rPr>
          <w:rFonts w:ascii="Arial" w:cs="Arial" w:eastAsia="Arial" w:hAnsi="Arial"/>
          <w:sz w:val="18"/>
          <w:szCs w:val="18"/>
          <w:color w:val="auto"/>
        </w:rPr>
        <w:t>the terms and conditions of any Awards (including, without limitation, any applicable financial or other performance “targets” specified in an Award Agreement).</w:t>
      </w:r>
    </w:p>
    <w:p>
      <w:pPr>
        <w:spacing w:after="0" w:line="44" w:lineRule="exact"/>
        <w:rPr>
          <w:rFonts w:ascii="Arial" w:cs="Arial" w:eastAsia="Arial" w:hAnsi="Arial"/>
          <w:sz w:val="18"/>
          <w:szCs w:val="18"/>
          <w:color w:val="auto"/>
        </w:rPr>
      </w:pPr>
    </w:p>
    <w:p>
      <w:pPr>
        <w:jc w:val="both"/>
        <w:ind w:left="-656" w:firstLine="1304"/>
        <w:spacing w:after="0" w:line="255" w:lineRule="auto"/>
        <w:tabs>
          <w:tab w:leader="none" w:pos="1282" w:val="left"/>
        </w:tabs>
        <w:numPr>
          <w:ilvl w:val="1"/>
          <w:numId w:val="12"/>
        </w:numPr>
        <w:rPr>
          <w:rFonts w:ascii="Arial" w:cs="Arial" w:eastAsia="Arial" w:hAnsi="Arial"/>
          <w:sz w:val="18"/>
          <w:szCs w:val="18"/>
          <w:color w:val="auto"/>
        </w:rPr>
      </w:pPr>
      <w:r>
        <w:rPr>
          <w:rFonts w:ascii="Arial" w:cs="Arial" w:eastAsia="Arial" w:hAnsi="Arial"/>
          <w:sz w:val="18"/>
          <w:szCs w:val="18"/>
          <w:color w:val="auto"/>
        </w:rPr>
        <w:t>In the event of any transaction or event described in Section 8(b) hereof (including without limitation any Change in Control) or any unusual or nonrecurring transaction or event affecting the Company or the financial statements of the Company, or any change in any Applicable Laws or accounting principles, the Administrator, on such terms and conditions as it deems appropriate, either by the terms of the Award or by action taken prior to the occurrence of such transaction or event and either automatically or upon the Participant’s request, is hereby authorized to take any one or more of the following actions whenever the Administrator determines that such action is appropriate in order to (x) prevent dilution or enlargement of the benefits or potential benefits intended by the Company to be made available under the Plan or with respect to any Award granted or issued under the Plan, (y) to facilitate such transaction or event or (z) give effect to such changes in Applicable Laws or accounting principles:</w:t>
      </w:r>
    </w:p>
    <w:p>
      <w:pPr>
        <w:spacing w:after="0" w:line="76" w:lineRule="exact"/>
        <w:rPr>
          <w:rFonts w:ascii="Arial" w:cs="Arial" w:eastAsia="Arial" w:hAnsi="Arial"/>
          <w:sz w:val="18"/>
          <w:szCs w:val="18"/>
          <w:color w:val="auto"/>
        </w:rPr>
      </w:pPr>
    </w:p>
    <w:p>
      <w:pPr>
        <w:jc w:val="both"/>
        <w:ind w:left="4" w:firstLine="1292"/>
        <w:spacing w:after="0" w:line="259" w:lineRule="auto"/>
        <w:tabs>
          <w:tab w:leader="none" w:pos="1946" w:val="left"/>
        </w:tabs>
        <w:numPr>
          <w:ilvl w:val="2"/>
          <w:numId w:val="12"/>
        </w:numPr>
        <w:rPr>
          <w:rFonts w:ascii="Arial" w:cs="Arial" w:eastAsia="Arial" w:hAnsi="Arial"/>
          <w:sz w:val="18"/>
          <w:szCs w:val="18"/>
          <w:color w:val="auto"/>
        </w:rPr>
      </w:pPr>
      <w:r>
        <w:rPr>
          <w:rFonts w:ascii="Arial" w:cs="Arial" w:eastAsia="Arial" w:hAnsi="Arial"/>
          <w:sz w:val="18"/>
          <w:szCs w:val="18"/>
          <w:color w:val="auto"/>
        </w:rPr>
        <w:t>To provide for the cancellation of any such Award in exchange for either an amount of cash or other property with a value equal to the amount that could have been obtained upon the exercise or settlement of the vested portion of such Award or realization of the Participant’s rights under the vested portion of such Award, as applicable; provided that, if the amount that could have been obtained upon the exercise or settlement of the vested portion of such Award or realization of the Participant’s rights, in any</w:t>
      </w:r>
    </w:p>
    <w:p>
      <w:pPr>
        <w:sectPr>
          <w:pgSz w:w="11900" w:h="16838" w:orient="portrait"/>
          <w:cols w:equalWidth="0" w:num="1">
            <w:col w:w="10584"/>
          </w:cols>
          <w:pgMar w:left="976" w:top="99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case, is equal to or less than zero, then the vested portion of such Award may be terminated without payment;</w:t>
      </w:r>
    </w:p>
    <w:p>
      <w:pPr>
        <w:spacing w:after="0" w:line="117" w:lineRule="exact"/>
        <w:rPr>
          <w:sz w:val="20"/>
          <w:szCs w:val="20"/>
          <w:color w:val="auto"/>
        </w:rPr>
      </w:pPr>
    </w:p>
    <w:p>
      <w:pPr>
        <w:ind w:firstLine="1292"/>
        <w:spacing w:after="0" w:line="287" w:lineRule="auto"/>
        <w:tabs>
          <w:tab w:leader="none" w:pos="1941" w:val="left"/>
        </w:tabs>
        <w:numPr>
          <w:ilvl w:val="1"/>
          <w:numId w:val="13"/>
        </w:numPr>
        <w:rPr>
          <w:rFonts w:ascii="Arial" w:cs="Arial" w:eastAsia="Arial" w:hAnsi="Arial"/>
          <w:sz w:val="18"/>
          <w:szCs w:val="18"/>
          <w:color w:val="auto"/>
        </w:rPr>
      </w:pPr>
      <w:r>
        <w:rPr>
          <w:rFonts w:ascii="Arial" w:cs="Arial" w:eastAsia="Arial" w:hAnsi="Arial"/>
          <w:sz w:val="18"/>
          <w:szCs w:val="18"/>
          <w:color w:val="auto"/>
        </w:rPr>
        <w:t>To provide that such Award shall vest and, to the extent applicable, be exercisable as to all shares covered thereby, notwithstanding anything to the contrary in the Plan or the provisions of such Award;</w:t>
      </w:r>
    </w:p>
    <w:p>
      <w:pPr>
        <w:spacing w:after="0" w:line="44" w:lineRule="exact"/>
        <w:rPr>
          <w:rFonts w:ascii="Arial" w:cs="Arial" w:eastAsia="Arial" w:hAnsi="Arial"/>
          <w:sz w:val="18"/>
          <w:szCs w:val="18"/>
          <w:color w:val="auto"/>
        </w:rPr>
      </w:pPr>
    </w:p>
    <w:p>
      <w:pPr>
        <w:jc w:val="both"/>
        <w:ind w:firstLine="1292"/>
        <w:spacing w:after="0" w:line="262" w:lineRule="auto"/>
        <w:tabs>
          <w:tab w:leader="none" w:pos="1941" w:val="left"/>
        </w:tabs>
        <w:numPr>
          <w:ilvl w:val="1"/>
          <w:numId w:val="13"/>
        </w:numPr>
        <w:rPr>
          <w:rFonts w:ascii="Arial" w:cs="Arial" w:eastAsia="Arial" w:hAnsi="Arial"/>
          <w:sz w:val="18"/>
          <w:szCs w:val="18"/>
          <w:color w:val="auto"/>
        </w:rPr>
      </w:pPr>
      <w:r>
        <w:rPr>
          <w:rFonts w:ascii="Arial" w:cs="Arial" w:eastAsia="Arial" w:hAnsi="Arial"/>
          <w:sz w:val="18"/>
          <w:szCs w:val="18"/>
          <w:color w:val="auto"/>
        </w:rPr>
        <w:t>To provide that such Award be assumed by the successor or survivor corporation, or a parent or subsidiary thereof, or shall be substituted for by awards covering the stock of the successor or survivor corporation, or a parent or subsidiary thereof, with appropriate adjustments as to the number and kind of shares and applicable exercise or purchase price, in all cases, as determined by the Administrator;</w:t>
      </w:r>
    </w:p>
    <w:p>
      <w:pPr>
        <w:spacing w:after="0" w:line="68" w:lineRule="exact"/>
        <w:rPr>
          <w:rFonts w:ascii="Arial" w:cs="Arial" w:eastAsia="Arial" w:hAnsi="Arial"/>
          <w:sz w:val="18"/>
          <w:szCs w:val="18"/>
          <w:color w:val="auto"/>
        </w:rPr>
      </w:pPr>
    </w:p>
    <w:p>
      <w:pPr>
        <w:jc w:val="both"/>
        <w:ind w:firstLine="1292"/>
        <w:spacing w:after="0" w:line="268" w:lineRule="auto"/>
        <w:tabs>
          <w:tab w:leader="none" w:pos="1937" w:val="left"/>
        </w:tabs>
        <w:numPr>
          <w:ilvl w:val="1"/>
          <w:numId w:val="13"/>
        </w:numPr>
        <w:rPr>
          <w:rFonts w:ascii="Arial" w:cs="Arial" w:eastAsia="Arial" w:hAnsi="Arial"/>
          <w:sz w:val="18"/>
          <w:szCs w:val="18"/>
          <w:color w:val="auto"/>
        </w:rPr>
      </w:pPr>
      <w:r>
        <w:rPr>
          <w:rFonts w:ascii="Arial" w:cs="Arial" w:eastAsia="Arial" w:hAnsi="Arial"/>
          <w:sz w:val="18"/>
          <w:szCs w:val="18"/>
          <w:color w:val="auto"/>
        </w:rPr>
        <w:t>To make adjustments in the number and type of Shares (or other securities or property) subject to outstanding Awards, and/or in the terms and conditions of (including the grant or exercise price or applicable performance goals), and the criteria included in, outstanding Awards;</w:t>
      </w:r>
    </w:p>
    <w:p>
      <w:pPr>
        <w:spacing w:after="0" w:line="62" w:lineRule="exact"/>
        <w:rPr>
          <w:rFonts w:ascii="Arial" w:cs="Arial" w:eastAsia="Arial" w:hAnsi="Arial"/>
          <w:sz w:val="18"/>
          <w:szCs w:val="18"/>
          <w:color w:val="auto"/>
        </w:rPr>
      </w:pPr>
    </w:p>
    <w:p>
      <w:pPr>
        <w:ind w:left="1940" w:hanging="648"/>
        <w:spacing w:after="0"/>
        <w:tabs>
          <w:tab w:leader="none" w:pos="19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To replace such Award with other rights or property selected by the Administrator; and/or</w:t>
      </w:r>
    </w:p>
    <w:p>
      <w:pPr>
        <w:spacing w:after="0" w:line="117" w:lineRule="exact"/>
        <w:rPr>
          <w:rFonts w:ascii="Arial" w:cs="Arial" w:eastAsia="Arial" w:hAnsi="Arial"/>
          <w:sz w:val="18"/>
          <w:szCs w:val="18"/>
          <w:color w:val="auto"/>
        </w:rPr>
      </w:pPr>
    </w:p>
    <w:p>
      <w:pPr>
        <w:ind w:left="1940" w:hanging="648"/>
        <w:spacing w:after="0"/>
        <w:tabs>
          <w:tab w:leader="none" w:pos="19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To provide that the Award will terminate and cannot vest, be exercised or become payable after the</w:t>
      </w:r>
    </w:p>
    <w:p>
      <w:pPr>
        <w:spacing w:after="0" w:line="2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applicable event.</w:t>
      </w:r>
    </w:p>
    <w:p>
      <w:pPr>
        <w:spacing w:after="0" w:line="99" w:lineRule="exact"/>
        <w:rPr>
          <w:rFonts w:ascii="Arial" w:cs="Arial" w:eastAsia="Arial" w:hAnsi="Arial"/>
          <w:sz w:val="18"/>
          <w:szCs w:val="18"/>
          <w:color w:val="auto"/>
        </w:rPr>
      </w:pPr>
    </w:p>
    <w:p>
      <w:pPr>
        <w:jc w:val="both"/>
        <w:ind w:left="-660" w:firstLine="1304"/>
        <w:spacing w:after="0" w:line="253" w:lineRule="auto"/>
        <w:tabs>
          <w:tab w:leader="none" w:pos="1274"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Notwithstanding Section 8(b) or 8(c) above, if a Change in Control occurs and a Participant’s then-outstanding Awards are not continued, converted, assumed, or replaced with a substantially similar award by (i) the Company, or (ii) a successor entity or its parent or subsidiary (an “</w:t>
      </w:r>
      <w:r>
        <w:rPr>
          <w:rFonts w:ascii="Arial" w:cs="Arial" w:eastAsia="Arial" w:hAnsi="Arial"/>
          <w:sz w:val="18"/>
          <w:szCs w:val="18"/>
          <w:b w:val="1"/>
          <w:bCs w:val="1"/>
          <w:i w:val="1"/>
          <w:iCs w:val="1"/>
          <w:color w:val="auto"/>
        </w:rPr>
        <w:t>Assumption</w:t>
      </w:r>
      <w:r>
        <w:rPr>
          <w:rFonts w:ascii="Arial" w:cs="Arial" w:eastAsia="Arial" w:hAnsi="Arial"/>
          <w:sz w:val="18"/>
          <w:szCs w:val="18"/>
          <w:color w:val="auto"/>
        </w:rPr>
        <w:t>”), then immediately before the Change in Control such Awards will become fully vested, exercisable and payable, as applicable, and all forfeiture, repurchase and other restrictions on such Awards will lapse. Such Awards will be canceled upon the Change in Control in exchange for the right to receive the Change in Control consideration payable to other holders of Common Stock, which (A) may be on such terms and conditions generally applicable to holders of Common Stock under the Change in Control documents (including any escrow, earn-out or other deferred consideration provisions) or such other terms and conditions as the Administrator may provide, and (B) is determined based on the number of Shares subject to such Awards and net of any applicable exercise price; provided that if any Awards constitute “nonqualified deferred compensation” not payable upon the Change in Control without the imposition of taxes under Section 409A, the timing of such payments will be governed by the Award Agreement (subject to any deferred consideration provisions under the Change in Control documents); and provided, further, that if the amount to which a Participant would be entitled upon the settlement or exercise of such Award upon the Change in Control is zero or less, then such Award may be terminated without payment. The Administrator shall determine whether an Assumption of an Award has occurred in connection with a Change in Control.</w:t>
      </w:r>
    </w:p>
    <w:p>
      <w:pPr>
        <w:spacing w:after="0" w:line="77" w:lineRule="exact"/>
        <w:rPr>
          <w:rFonts w:ascii="Arial" w:cs="Arial" w:eastAsia="Arial" w:hAnsi="Arial"/>
          <w:sz w:val="18"/>
          <w:szCs w:val="18"/>
          <w:color w:val="auto"/>
        </w:rPr>
      </w:pPr>
    </w:p>
    <w:p>
      <w:pPr>
        <w:jc w:val="both"/>
        <w:ind w:left="-660" w:firstLine="1304"/>
        <w:spacing w:after="0" w:line="259" w:lineRule="auto"/>
        <w:tabs>
          <w:tab w:leader="none" w:pos="1274"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the event of any pending stock dividend, stock split, combination or exchange of shares, merger, consolidation or other distribution (other than normal cash dividends) of Company assets to stockholders, or any other extraordinary transaction or change affecting the Shares or the share price of Common Stock, including any Equity Restructuring or any securities offering or other similar transaction, for administrative convenience, the Administrator may refuse to permit the exercise of any Award for up to 60 days before or after such transaction.</w:t>
      </w:r>
    </w:p>
    <w:p>
      <w:pPr>
        <w:spacing w:after="0" w:line="71" w:lineRule="exact"/>
        <w:rPr>
          <w:rFonts w:ascii="Arial" w:cs="Arial" w:eastAsia="Arial" w:hAnsi="Arial"/>
          <w:sz w:val="18"/>
          <w:szCs w:val="18"/>
          <w:color w:val="auto"/>
        </w:rPr>
      </w:pPr>
    </w:p>
    <w:p>
      <w:pPr>
        <w:jc w:val="both"/>
        <w:ind w:left="-660" w:firstLine="1304"/>
        <w:spacing w:after="0" w:line="254" w:lineRule="auto"/>
        <w:tabs>
          <w:tab w:leader="none" w:pos="1278"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Except as expressly provided in the Plan or the Administrator’s action under the Plan, no Participant will have any rights due to any subdivision or consolidation of Shares of any class, dividend payment, increase or decrease in the number of Shares of any class or dissolution, liquidation, merger, or consolidation of the Company or other corporation. Except as expressly provided with respect to an Equity Restructuring under Section 8(a) above or the Administrator’s action under the Plan, no issuance by the Company of shares of any class, or securities convertible into shares of any class, will affect, and no adjustment will be made regarding, the number of Shares subject to an Award or the Award’s grant or exercise price. The existence of the Plan, any Award Agreements and the Awards granted hereunder will not affect or restrict in any way the Company’s right or power to make or authorize (i) any adjustment, recapitalization, reorganization or other change in the Company’s capital structure or its business, (ii) any merger, consolidation dissolution or liquidation of the Company or sale of Company assets or (iii) any sale or issuance of securities, including securities with rights superior to those of the Shares or securities convertible into or exchangeable for Shares. The Administrator may treat Participants and Awards (or portions thereof) differently under this Section 8.</w:t>
      </w:r>
    </w:p>
    <w:p>
      <w:pPr>
        <w:spacing w:after="0" w:line="74" w:lineRule="exact"/>
        <w:rPr>
          <w:rFonts w:ascii="Arial" w:cs="Arial" w:eastAsia="Arial" w:hAnsi="Arial"/>
          <w:sz w:val="18"/>
          <w:szCs w:val="18"/>
          <w:color w:val="auto"/>
        </w:rPr>
      </w:pPr>
    </w:p>
    <w:p>
      <w:pPr>
        <w:ind w:left="-660" w:firstLine="1304"/>
        <w:spacing w:after="0" w:line="287" w:lineRule="auto"/>
        <w:tabs>
          <w:tab w:leader="none" w:pos="1274"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action shall be taken under this Section 8 which shall cause an Award to fail to comply with Section 409A of the Code or the Treasury Regulations thereunder, to the extent applicable to such Award.</w:t>
      </w:r>
    </w:p>
    <w:p>
      <w:pPr>
        <w:sectPr>
          <w:pgSz w:w="11900" w:h="16838" w:orient="portrait"/>
          <w:cols w:equalWidth="0" w:num="1">
            <w:col w:w="10580"/>
          </w:cols>
          <w:pgMar w:left="980" w:top="998" w:right="339" w:bottom="1440" w:gutter="0" w:footer="0" w:header="0"/>
        </w:sectPr>
      </w:pPr>
    </w:p>
    <w:bookmarkStart w:id="13" w:name="page14"/>
    <w:bookmarkEnd w:id="13"/>
    <w:p>
      <w:pPr>
        <w:ind w:left="644" w:hanging="644"/>
        <w:spacing w:after="0"/>
        <w:tabs>
          <w:tab w:leader="none" w:pos="644"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General Provisions Applicable to Awards</w:t>
      </w:r>
      <w:r>
        <w:rPr>
          <w:rFonts w:ascii="Arial" w:cs="Arial" w:eastAsia="Arial" w:hAnsi="Arial"/>
          <w:sz w:val="18"/>
          <w:szCs w:val="18"/>
          <w:i w:val="1"/>
          <w:iCs w:val="1"/>
          <w:color w:val="auto"/>
        </w:rPr>
        <w:t>.</w:t>
      </w:r>
    </w:p>
    <w:p>
      <w:pPr>
        <w:spacing w:after="0" w:line="115" w:lineRule="exact"/>
        <w:rPr>
          <w:rFonts w:ascii="Arial" w:cs="Arial" w:eastAsia="Arial" w:hAnsi="Arial"/>
          <w:sz w:val="18"/>
          <w:szCs w:val="18"/>
          <w:color w:val="auto"/>
        </w:rPr>
      </w:pPr>
    </w:p>
    <w:p>
      <w:pPr>
        <w:jc w:val="both"/>
        <w:ind w:left="-656" w:firstLine="1304"/>
        <w:spacing w:after="0" w:line="256" w:lineRule="auto"/>
        <w:tabs>
          <w:tab w:leader="none" w:pos="1278" w:val="left"/>
        </w:tabs>
        <w:numPr>
          <w:ilvl w:val="1"/>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Transferability. </w:t>
      </w:r>
      <w:r>
        <w:rPr>
          <w:rFonts w:ascii="Arial" w:cs="Arial" w:eastAsia="Arial" w:hAnsi="Arial"/>
          <w:sz w:val="18"/>
          <w:szCs w:val="18"/>
          <w:color w:val="auto"/>
        </w:rPr>
        <w:t>Except as the Administrator may determine or provide in an Award Agreement or otherwise,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Applicable Laws (and subject to the applicable requirements for Shares underlying Awards to be registered on Form S-8 under the Securities Act), Awards may not be sold, assigned, transferred, pledged or otherwise encumbered, either voluntarily or by operation of law, except by will or the laws of descent and distribution, or, subject to the Administrator’s consent, pursuant to a DRO, and, during the life of the Participant, will be exercisable only by the Participant. Any permitted transfer of an Award hereunder shall be without consideration, except as required by Applicable Law. References to a Participant, to the extent relevant in the context, will include references to a Participant’s authorized transferee that the Administrator specifically approves under Applicable Laws.</w:t>
      </w:r>
    </w:p>
    <w:p>
      <w:pPr>
        <w:spacing w:after="0" w:line="74" w:lineRule="exact"/>
        <w:rPr>
          <w:rFonts w:ascii="Arial" w:cs="Arial" w:eastAsia="Arial" w:hAnsi="Arial"/>
          <w:sz w:val="18"/>
          <w:szCs w:val="18"/>
          <w:color w:val="auto"/>
        </w:rPr>
      </w:pPr>
    </w:p>
    <w:p>
      <w:pPr>
        <w:ind w:left="-656" w:firstLine="1304"/>
        <w:spacing w:after="0" w:line="287" w:lineRule="auto"/>
        <w:tabs>
          <w:tab w:leader="none" w:pos="1278" w:val="left"/>
        </w:tabs>
        <w:numPr>
          <w:ilvl w:val="1"/>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Documentation. </w:t>
      </w:r>
      <w:r>
        <w:rPr>
          <w:rFonts w:ascii="Arial" w:cs="Arial" w:eastAsia="Arial" w:hAnsi="Arial"/>
          <w:sz w:val="18"/>
          <w:szCs w:val="18"/>
          <w:color w:val="auto"/>
        </w:rPr>
        <w:t>Each Award will be evidenced in an Award Agreement, as the Administrator determines. Each</w:t>
      </w:r>
      <w:r>
        <w:rPr>
          <w:rFonts w:ascii="Arial" w:cs="Arial" w:eastAsia="Arial" w:hAnsi="Arial"/>
          <w:sz w:val="18"/>
          <w:szCs w:val="18"/>
          <w:i w:val="1"/>
          <w:iCs w:val="1"/>
          <w:color w:val="auto"/>
        </w:rPr>
        <w:t xml:space="preserve"> </w:t>
      </w:r>
      <w:r>
        <w:rPr>
          <w:rFonts w:ascii="Arial" w:cs="Arial" w:eastAsia="Arial" w:hAnsi="Arial"/>
          <w:sz w:val="18"/>
          <w:szCs w:val="18"/>
          <w:color w:val="auto"/>
        </w:rPr>
        <w:t>Award may contain terms and conditions in addition to those set forth in the Plan.</w:t>
      </w:r>
    </w:p>
    <w:p>
      <w:pPr>
        <w:spacing w:after="0" w:line="44" w:lineRule="exact"/>
        <w:rPr>
          <w:rFonts w:ascii="Arial" w:cs="Arial" w:eastAsia="Arial" w:hAnsi="Arial"/>
          <w:sz w:val="18"/>
          <w:szCs w:val="18"/>
          <w:color w:val="auto"/>
        </w:rPr>
      </w:pPr>
    </w:p>
    <w:p>
      <w:pPr>
        <w:jc w:val="both"/>
        <w:ind w:left="-656" w:firstLine="1304"/>
        <w:spacing w:after="0" w:line="268" w:lineRule="auto"/>
        <w:tabs>
          <w:tab w:leader="none" w:pos="1282" w:val="left"/>
        </w:tabs>
        <w:numPr>
          <w:ilvl w:val="1"/>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Discretion. </w:t>
      </w:r>
      <w:r>
        <w:rPr>
          <w:rFonts w:ascii="Arial" w:cs="Arial" w:eastAsia="Arial" w:hAnsi="Arial"/>
          <w:sz w:val="18"/>
          <w:szCs w:val="18"/>
          <w:color w:val="auto"/>
        </w:rPr>
        <w:t>Except as the Plan otherwise provides, each Award may be made alone or in addition or in relation to</w:t>
      </w:r>
      <w:r>
        <w:rPr>
          <w:rFonts w:ascii="Arial" w:cs="Arial" w:eastAsia="Arial" w:hAnsi="Arial"/>
          <w:sz w:val="18"/>
          <w:szCs w:val="18"/>
          <w:i w:val="1"/>
          <w:iCs w:val="1"/>
          <w:color w:val="auto"/>
        </w:rPr>
        <w:t xml:space="preserve"> </w:t>
      </w:r>
      <w:r>
        <w:rPr>
          <w:rFonts w:ascii="Arial" w:cs="Arial" w:eastAsia="Arial" w:hAnsi="Arial"/>
          <w:sz w:val="18"/>
          <w:szCs w:val="18"/>
          <w:color w:val="auto"/>
        </w:rPr>
        <w:t>any other Award. The terms of each Award to a Participant need not be identical, and the Administrator need not treat Participants or Awards (or portions thereof) uniformly.</w:t>
      </w:r>
    </w:p>
    <w:p>
      <w:pPr>
        <w:spacing w:after="0" w:line="62" w:lineRule="exact"/>
        <w:rPr>
          <w:rFonts w:ascii="Arial" w:cs="Arial" w:eastAsia="Arial" w:hAnsi="Arial"/>
          <w:sz w:val="18"/>
          <w:szCs w:val="18"/>
          <w:color w:val="auto"/>
        </w:rPr>
      </w:pPr>
    </w:p>
    <w:p>
      <w:pPr>
        <w:jc w:val="both"/>
        <w:ind w:left="-656" w:firstLine="1304"/>
        <w:spacing w:after="0" w:line="262" w:lineRule="auto"/>
        <w:tabs>
          <w:tab w:leader="none" w:pos="1278" w:val="left"/>
        </w:tabs>
        <w:numPr>
          <w:ilvl w:val="1"/>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Termination of Status. </w:t>
      </w:r>
      <w:r>
        <w:rPr>
          <w:rFonts w:ascii="Arial" w:cs="Arial" w:eastAsia="Arial" w:hAnsi="Arial"/>
          <w:sz w:val="18"/>
          <w:szCs w:val="18"/>
          <w:color w:val="auto"/>
        </w:rPr>
        <w:t>The Administrator will determine how the disability, death, retirement, authorized leave of</w:t>
      </w:r>
      <w:r>
        <w:rPr>
          <w:rFonts w:ascii="Arial" w:cs="Arial" w:eastAsia="Arial" w:hAnsi="Arial"/>
          <w:sz w:val="18"/>
          <w:szCs w:val="18"/>
          <w:i w:val="1"/>
          <w:iCs w:val="1"/>
          <w:color w:val="auto"/>
        </w:rPr>
        <w:t xml:space="preserve"> </w:t>
      </w:r>
      <w:r>
        <w:rPr>
          <w:rFonts w:ascii="Arial" w:cs="Arial" w:eastAsia="Arial" w:hAnsi="Arial"/>
          <w:sz w:val="18"/>
          <w:szCs w:val="18"/>
          <w:color w:val="auto"/>
        </w:rPr>
        <w:t>absence or any other change or purported change in a Participant’s Service Provider status affects an Award and the extent to which, and the period during which, the Participant, the Participant’s legal representative, conservator, guardian or Designated Beneficiary may exercise rights under the Award, if applicable.</w:t>
      </w:r>
    </w:p>
    <w:p>
      <w:pPr>
        <w:spacing w:after="0" w:line="68" w:lineRule="exact"/>
        <w:rPr>
          <w:rFonts w:ascii="Arial" w:cs="Arial" w:eastAsia="Arial" w:hAnsi="Arial"/>
          <w:sz w:val="18"/>
          <w:szCs w:val="18"/>
          <w:color w:val="auto"/>
        </w:rPr>
      </w:pPr>
    </w:p>
    <w:p>
      <w:pPr>
        <w:jc w:val="both"/>
        <w:ind w:left="-656" w:firstLine="1304"/>
        <w:spacing w:after="0" w:line="251" w:lineRule="auto"/>
        <w:tabs>
          <w:tab w:leader="none" w:pos="1278" w:val="left"/>
        </w:tabs>
        <w:numPr>
          <w:ilvl w:val="1"/>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Withholding. </w:t>
      </w:r>
      <w:r>
        <w:rPr>
          <w:rFonts w:ascii="Arial" w:cs="Arial" w:eastAsia="Arial" w:hAnsi="Arial"/>
          <w:sz w:val="18"/>
          <w:szCs w:val="18"/>
          <w:color w:val="auto"/>
        </w:rPr>
        <w:t>Each Participant must pay the Company, or make provision satisfactory to the Administrator for</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of, any taxes required by Applicable Law to be withheld in connection with such Participant’s Awards by the date of the event creating the tax liability. The Company or one of its Subsidiaries may deduct an amount sufficient to satisfy such tax obligations based on the applicable statutory withholding rates (or such other rate as may be determined by the Company after considering any accounting consequences or costs) from any payment of any kind otherwise due to a Participant. In the absence of a contrary determination by the Company (or, with respect to withholding pursuant to clause (ii) below with respect to Awards held by individuals subject to Section 16 of the Exchange Act, a contrary determination by the Administrator), all tax withholding obligations will be calculated based on the minimum applicable statutory withholding rates. Subject to Section 10(h) and any Company insider trading policy (including blackout periods), Participants may satisfy such tax obligations (i) in cash, by wire transfer of immediately available funds or check made payable to the order of the Company, provided that the Company may limit the use of the foregoing payment forms in its discretion, (ii) to the extent permitted by the Administrator, in whole or in part by delivery of Shares, including Shares delivered by attestation and Shares retained from the Award creating the tax obligation, valued at their fair market value on the date of delivery, (iii) if there is a public market for Shares at the time the tax obligations are satisfied, unless the Company otherwise determines, (A) delivery (including electronically or telephonically to the extent permitted by the Company) of an irrevocable and unconditional undertaking by a broker acceptable to the Company to deliver promptly to the Company sufficient funds to satisfy the tax obligations, or (B) delivery by the Participant to the Company of a copy of irrevocable and unconditional instructions to a broker acceptable to the Company to deliver promptly to the Company cash or a check sufficient to satisfy the tax withholding; provided that such amount is paid to the Company at such time as may be required by the Administrator, or (iv) to the extent permitted by the Company, any combination of the foregoing payment forms approved by the Administrator. Notwithstanding any other provision of the Plan, the number of Shares which may be so delivered or retained pursuant to clause (ii) of the immediately preceding sentence shall be limited to the number of Shares which have a fair market value on the date of delivery or retention no greater than the aggregate amount of such liabilities based on the maximum individual statutory tax rate in the applicable jurisdiction at the time of such withholding (or such other rate as may be required to avoid the liability classification of the applicable award under generally accepted accounting principles in the United States of America). If any tax withholding obligation will be satisfied under clause (ii) above by the Company’s retention of Shares from the Award creating the tax obligation and there is a public market for Shares at the time the tax obligation is satisfied, the Company may elect to instruct any brokerage firm determined acceptable to the Company for such purpose to sell on the applicable Participant’s behalf some or all of the Shares retained and to remit the proceeds of the sale to the Company or its designee, and each Participant’s acceptance of an Award under the Plan will constitute the Participant’s authorization to the Company and instruction and authorization to such brokerage firm to complete the transactions described in this sentence.</w:t>
      </w:r>
    </w:p>
    <w:p>
      <w:pPr>
        <w:spacing w:after="0" w:line="94" w:lineRule="exact"/>
        <w:rPr>
          <w:rFonts w:ascii="Arial" w:cs="Arial" w:eastAsia="Arial" w:hAnsi="Arial"/>
          <w:sz w:val="18"/>
          <w:szCs w:val="18"/>
          <w:color w:val="auto"/>
        </w:rPr>
      </w:pPr>
    </w:p>
    <w:p>
      <w:pPr>
        <w:jc w:val="both"/>
        <w:ind w:left="-656" w:firstLine="1304"/>
        <w:spacing w:after="0" w:line="268" w:lineRule="auto"/>
        <w:tabs>
          <w:tab w:leader="none" w:pos="1282" w:val="left"/>
        </w:tabs>
        <w:numPr>
          <w:ilvl w:val="1"/>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Amendment of Award. </w:t>
      </w:r>
      <w:r>
        <w:rPr>
          <w:rFonts w:ascii="Arial" w:cs="Arial" w:eastAsia="Arial" w:hAnsi="Arial"/>
          <w:sz w:val="18"/>
          <w:szCs w:val="18"/>
          <w:color w:val="auto"/>
        </w:rPr>
        <w:t>Subject to Section 9(i), the Administrator may amend, modify or terminate any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Award, including by substituting another Award of the same or a different type, changing the exercise or settlement date, and converting an Incentive Stock Option to a Non-Qualified Stock Option. The</w:t>
      </w:r>
    </w:p>
    <w:p>
      <w:pPr>
        <w:sectPr>
          <w:pgSz w:w="11900" w:h="16838" w:orient="portrait"/>
          <w:cols w:equalWidth="0" w:num="1">
            <w:col w:w="10584"/>
          </w:cols>
          <w:pgMar w:left="976" w:top="1000" w:right="339" w:bottom="1440" w:gutter="0" w:footer="0" w:header="0"/>
        </w:sectPr>
      </w:pPr>
    </w:p>
    <w:bookmarkStart w:id="14" w:name="page15"/>
    <w:bookmarkEnd w:id="14"/>
    <w:p>
      <w:pPr>
        <w:spacing w:after="0" w:line="287" w:lineRule="auto"/>
        <w:rPr>
          <w:sz w:val="20"/>
          <w:szCs w:val="20"/>
          <w:color w:val="auto"/>
        </w:rPr>
      </w:pPr>
      <w:r>
        <w:rPr>
          <w:rFonts w:ascii="Arial" w:cs="Arial" w:eastAsia="Arial" w:hAnsi="Arial"/>
          <w:sz w:val="18"/>
          <w:szCs w:val="18"/>
          <w:color w:val="auto"/>
        </w:rPr>
        <w:t>Participant’s consent to such action will be required unless (i) the Administrator determines that the action, taking into account any related action, would not materially and adversely affect the Participant, or (ii) the change is permitted under Section 8 or pursuant to Section 10(f).</w:t>
      </w:r>
    </w:p>
    <w:p>
      <w:pPr>
        <w:spacing w:after="0" w:line="45" w:lineRule="exact"/>
        <w:rPr>
          <w:sz w:val="20"/>
          <w:szCs w:val="20"/>
          <w:color w:val="auto"/>
        </w:rPr>
      </w:pPr>
    </w:p>
    <w:p>
      <w:pPr>
        <w:jc w:val="both"/>
        <w:ind w:firstLine="1304"/>
        <w:spacing w:after="0" w:line="255" w:lineRule="auto"/>
        <w:tabs>
          <w:tab w:leader="none" w:pos="1934" w:val="left"/>
        </w:tabs>
        <w:numPr>
          <w:ilvl w:val="1"/>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Conditions on Delivery of Stock. </w:t>
      </w:r>
      <w:r>
        <w:rPr>
          <w:rFonts w:ascii="Arial" w:cs="Arial" w:eastAsia="Arial" w:hAnsi="Arial"/>
          <w:sz w:val="18"/>
          <w:szCs w:val="18"/>
          <w:color w:val="auto"/>
        </w:rPr>
        <w:t>The Company will not be obligated to deliver any Shares under the Plan or</w:t>
      </w:r>
      <w:r>
        <w:rPr>
          <w:rFonts w:ascii="Arial" w:cs="Arial" w:eastAsia="Arial" w:hAnsi="Arial"/>
          <w:sz w:val="18"/>
          <w:szCs w:val="18"/>
          <w:i w:val="1"/>
          <w:iCs w:val="1"/>
          <w:color w:val="auto"/>
        </w:rPr>
        <w:t xml:space="preserve"> </w:t>
      </w:r>
      <w:r>
        <w:rPr>
          <w:rFonts w:ascii="Arial" w:cs="Arial" w:eastAsia="Arial" w:hAnsi="Arial"/>
          <w:sz w:val="18"/>
          <w:szCs w:val="18"/>
          <w:color w:val="auto"/>
        </w:rPr>
        <w:t>remove restrictions from Shares previously delivered under the Plan until (i) all Award conditions have been met or removed to the Company’s satisfaction, (ii) as determined by the Company, all other legal matters regarding the issuance and delivery of such Shares have been satisfied, including any applicable securities laws and stock exchange or stock market rules and regulations, and (iii) the Participant has executed and delivered to the Company such representations or agreements as the Administrator deems necessary or appropriate to satisfy any Applicable Laws. The Company’s inability to obtain authority from any regulatory body having jurisdiction, which the Administrator determines is necessary to the lawful issuance and sale of any securities, will relieve the Company of any liability for failing to issue or sell such Shares as to which such requisite authority has not been obtained.</w:t>
      </w:r>
    </w:p>
    <w:p>
      <w:pPr>
        <w:spacing w:after="0" w:line="76" w:lineRule="exact"/>
        <w:rPr>
          <w:rFonts w:ascii="Arial" w:cs="Arial" w:eastAsia="Arial" w:hAnsi="Arial"/>
          <w:sz w:val="18"/>
          <w:szCs w:val="18"/>
          <w:color w:val="auto"/>
        </w:rPr>
      </w:pPr>
    </w:p>
    <w:p>
      <w:pPr>
        <w:ind w:right="20" w:firstLine="1304"/>
        <w:spacing w:after="0" w:line="287" w:lineRule="auto"/>
        <w:tabs>
          <w:tab w:leader="none" w:pos="1934" w:val="left"/>
        </w:tabs>
        <w:numPr>
          <w:ilvl w:val="1"/>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Acceleration. </w:t>
      </w:r>
      <w:r>
        <w:rPr>
          <w:rFonts w:ascii="Arial" w:cs="Arial" w:eastAsia="Arial" w:hAnsi="Arial"/>
          <w:sz w:val="18"/>
          <w:szCs w:val="18"/>
          <w:color w:val="auto"/>
        </w:rPr>
        <w:t>The Administrator may at any time provide that any Award will become immediately vested and fully</w:t>
      </w:r>
      <w:r>
        <w:rPr>
          <w:rFonts w:ascii="Arial" w:cs="Arial" w:eastAsia="Arial" w:hAnsi="Arial"/>
          <w:sz w:val="18"/>
          <w:szCs w:val="18"/>
          <w:i w:val="1"/>
          <w:iCs w:val="1"/>
          <w:color w:val="auto"/>
        </w:rPr>
        <w:t xml:space="preserve"> </w:t>
      </w:r>
      <w:r>
        <w:rPr>
          <w:rFonts w:ascii="Arial" w:cs="Arial" w:eastAsia="Arial" w:hAnsi="Arial"/>
          <w:sz w:val="18"/>
          <w:szCs w:val="18"/>
          <w:color w:val="auto"/>
        </w:rPr>
        <w:t>or partially exercisable, free of some or all restrictions or conditions, or otherwise fully or partially realizable.</w:t>
      </w:r>
    </w:p>
    <w:p>
      <w:pPr>
        <w:spacing w:after="0" w:line="44" w:lineRule="exact"/>
        <w:rPr>
          <w:rFonts w:ascii="Arial" w:cs="Arial" w:eastAsia="Arial" w:hAnsi="Arial"/>
          <w:sz w:val="18"/>
          <w:szCs w:val="18"/>
          <w:color w:val="auto"/>
        </w:rPr>
      </w:pPr>
    </w:p>
    <w:p>
      <w:pPr>
        <w:jc w:val="both"/>
        <w:ind w:firstLine="1304"/>
        <w:spacing w:after="0" w:line="262" w:lineRule="auto"/>
        <w:tabs>
          <w:tab w:leader="none" w:pos="1942" w:val="left"/>
        </w:tabs>
        <w:numPr>
          <w:ilvl w:val="1"/>
          <w:numId w:val="16"/>
        </w:numPr>
        <w:rPr>
          <w:rFonts w:ascii="Arial" w:cs="Arial" w:eastAsia="Arial" w:hAnsi="Arial"/>
          <w:sz w:val="18"/>
          <w:szCs w:val="18"/>
          <w:color w:val="auto"/>
        </w:rPr>
      </w:pPr>
      <w:r>
        <w:rPr>
          <w:rFonts w:ascii="Arial" w:cs="Arial" w:eastAsia="Arial" w:hAnsi="Arial"/>
          <w:sz w:val="18"/>
          <w:szCs w:val="18"/>
          <w:i w:val="1"/>
          <w:iCs w:val="1"/>
          <w:color w:val="auto"/>
        </w:rPr>
        <w:t>Prohibition on Repricing</w:t>
      </w:r>
      <w:r>
        <w:rPr>
          <w:rFonts w:ascii="Arial" w:cs="Arial" w:eastAsia="Arial" w:hAnsi="Arial"/>
          <w:sz w:val="18"/>
          <w:szCs w:val="18"/>
          <w:color w:val="auto"/>
        </w:rPr>
        <w:t>. Subject to Section 8, the Administrator shall not, without the approval of the stockholders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(i) authorize the amendment of any outstanding Option or Stock Appreciation Right to reduce its price per share, or (ii) cancel any Option or Stock Appreciation Right in exchange for cash or another Award when the Option or Stock Appreciation Right price per share exceeds the Fair Market Value of the underlying Shares.</w:t>
      </w:r>
    </w:p>
    <w:p>
      <w:pPr>
        <w:spacing w:after="0" w:line="68" w:lineRule="exact"/>
        <w:rPr>
          <w:rFonts w:ascii="Arial" w:cs="Arial" w:eastAsia="Arial" w:hAnsi="Arial"/>
          <w:sz w:val="18"/>
          <w:szCs w:val="18"/>
          <w:color w:val="auto"/>
        </w:rPr>
      </w:pPr>
    </w:p>
    <w:p>
      <w:pPr>
        <w:jc w:val="both"/>
        <w:ind w:firstLine="1304"/>
        <w:spacing w:after="0" w:line="268" w:lineRule="auto"/>
        <w:tabs>
          <w:tab w:leader="none" w:pos="1942" w:val="left"/>
        </w:tabs>
        <w:numPr>
          <w:ilvl w:val="1"/>
          <w:numId w:val="16"/>
        </w:numPr>
        <w:rPr>
          <w:rFonts w:ascii="Arial" w:cs="Arial" w:eastAsia="Arial" w:hAnsi="Arial"/>
          <w:sz w:val="18"/>
          <w:szCs w:val="18"/>
          <w:color w:val="auto"/>
        </w:rPr>
      </w:pPr>
      <w:r>
        <w:rPr>
          <w:rFonts w:ascii="Arial" w:cs="Arial" w:eastAsia="Arial" w:hAnsi="Arial"/>
          <w:sz w:val="18"/>
          <w:szCs w:val="18"/>
          <w:i w:val="1"/>
          <w:iCs w:val="1"/>
          <w:color w:val="auto"/>
        </w:rPr>
        <w:t>Cash Settlement</w:t>
      </w:r>
      <w:r>
        <w:rPr>
          <w:rFonts w:ascii="Arial" w:cs="Arial" w:eastAsia="Arial" w:hAnsi="Arial"/>
          <w:sz w:val="18"/>
          <w:szCs w:val="18"/>
          <w:color w:val="auto"/>
        </w:rPr>
        <w:t>. Without limiting the generality of any other provision of the Plan, the Administrator may provide, in</w:t>
      </w:r>
      <w:r>
        <w:rPr>
          <w:rFonts w:ascii="Arial" w:cs="Arial" w:eastAsia="Arial" w:hAnsi="Arial"/>
          <w:sz w:val="18"/>
          <w:szCs w:val="18"/>
          <w:i w:val="1"/>
          <w:iCs w:val="1"/>
          <w:color w:val="auto"/>
        </w:rPr>
        <w:t xml:space="preserve"> </w:t>
      </w:r>
      <w:r>
        <w:rPr>
          <w:rFonts w:ascii="Arial" w:cs="Arial" w:eastAsia="Arial" w:hAnsi="Arial"/>
          <w:sz w:val="18"/>
          <w:szCs w:val="18"/>
          <w:color w:val="auto"/>
        </w:rPr>
        <w:t>an Award Agreement or subsequent to the grant of an Award, in its discretion, that any Award may be settled in cash, Shares or a combination thereof.</w:t>
      </w:r>
    </w:p>
    <w:p>
      <w:pPr>
        <w:spacing w:after="0" w:line="62" w:lineRule="exact"/>
        <w:rPr>
          <w:rFonts w:ascii="Arial" w:cs="Arial" w:eastAsia="Arial" w:hAnsi="Arial"/>
          <w:sz w:val="18"/>
          <w:szCs w:val="18"/>
          <w:color w:val="auto"/>
        </w:rPr>
      </w:pPr>
    </w:p>
    <w:p>
      <w:pPr>
        <w:jc w:val="both"/>
        <w:ind w:firstLine="1304"/>
        <w:spacing w:after="0" w:line="254" w:lineRule="auto"/>
        <w:tabs>
          <w:tab w:leader="none" w:pos="1938" w:val="left"/>
        </w:tabs>
        <w:numPr>
          <w:ilvl w:val="1"/>
          <w:numId w:val="16"/>
        </w:numPr>
        <w:rPr>
          <w:rFonts w:ascii="Arial" w:cs="Arial" w:eastAsia="Arial" w:hAnsi="Arial"/>
          <w:sz w:val="18"/>
          <w:szCs w:val="18"/>
          <w:color w:val="auto"/>
        </w:rPr>
      </w:pPr>
      <w:r>
        <w:rPr>
          <w:rFonts w:ascii="Arial" w:cs="Arial" w:eastAsia="Arial" w:hAnsi="Arial"/>
          <w:sz w:val="18"/>
          <w:szCs w:val="18"/>
          <w:i w:val="1"/>
          <w:iCs w:val="1"/>
          <w:color w:val="auto"/>
        </w:rPr>
        <w:t>Broker-Assisted Sales</w:t>
      </w:r>
      <w:r>
        <w:rPr>
          <w:rFonts w:ascii="Arial" w:cs="Arial" w:eastAsia="Arial" w:hAnsi="Arial"/>
          <w:sz w:val="18"/>
          <w:szCs w:val="18"/>
          <w:color w:val="auto"/>
        </w:rPr>
        <w:t>. In the event of a broker-assisted sale of Shares in connection with the payment of amounts</w:t>
      </w:r>
      <w:r>
        <w:rPr>
          <w:rFonts w:ascii="Arial" w:cs="Arial" w:eastAsia="Arial" w:hAnsi="Arial"/>
          <w:sz w:val="18"/>
          <w:szCs w:val="18"/>
          <w:i w:val="1"/>
          <w:iCs w:val="1"/>
          <w:color w:val="auto"/>
        </w:rPr>
        <w:t xml:space="preserve"> </w:t>
      </w:r>
      <w:r>
        <w:rPr>
          <w:rFonts w:ascii="Arial" w:cs="Arial" w:eastAsia="Arial" w:hAnsi="Arial"/>
          <w:sz w:val="18"/>
          <w:szCs w:val="18"/>
          <w:color w:val="auto"/>
        </w:rPr>
        <w:t>owed by a Participant under or with respect to the Plan or Awards, including amounts to be paid under the final sentence of Section 9(e): (i) any Shares to be sold through the broker-assisted sale will be sold on the day the payment first becomes due, or as soon thereafter as practicable; (ii) such Shares may be sold as part of a block trade with other Participants in the Plan in which all participants receive an average price; (iii) the applicable Participant will be responsible for all broker’s fees and other costs of sale, and by accepting an Award, each Participant agrees to indemnify and hold the Company and its Subsidiaries harmless from any losses, costs, damages, or expenses relating to any such sale; (iv) to the extent the Company, its Subsidiaries or their designee receives proceeds of such sale that exceed the amount owed, the Company or its Subsidiary will pay such excess in cash to the applicable Participant as soon as reasonably practicable; (v) the Company, its Subsidiaries and their designees are under no obligation to arrange for such sale at any particular price; and (vi) in the event the proceeds of such sale are insufficient to satisfy the Participant’s applicable obligation, the Participant may be required to pay immediately upon demand to the Company or its designee an amount in cash sufficient to satisfy any remaining portion of the Participant’s obligation.</w:t>
      </w:r>
    </w:p>
    <w:p>
      <w:pPr>
        <w:spacing w:after="0" w:line="76"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Miscellaneous</w:t>
      </w:r>
      <w:r>
        <w:rPr>
          <w:rFonts w:ascii="Arial" w:cs="Arial" w:eastAsia="Arial" w:hAnsi="Arial"/>
          <w:sz w:val="18"/>
          <w:szCs w:val="18"/>
          <w:i w:val="1"/>
          <w:iCs w:val="1"/>
          <w:color w:val="auto"/>
        </w:rPr>
        <w:t>.</w:t>
      </w:r>
    </w:p>
    <w:p>
      <w:pPr>
        <w:spacing w:after="0" w:line="115" w:lineRule="exact"/>
        <w:rPr>
          <w:rFonts w:ascii="Arial" w:cs="Arial" w:eastAsia="Arial" w:hAnsi="Arial"/>
          <w:sz w:val="18"/>
          <w:szCs w:val="18"/>
          <w:color w:val="auto"/>
        </w:rPr>
      </w:pPr>
    </w:p>
    <w:p>
      <w:pPr>
        <w:jc w:val="both"/>
        <w:ind w:firstLine="1304"/>
        <w:spacing w:after="0" w:line="259" w:lineRule="auto"/>
        <w:tabs>
          <w:tab w:leader="none" w:pos="1934" w:val="left"/>
        </w:tabs>
        <w:numPr>
          <w:ilvl w:val="1"/>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No Right to Employment or Other Status. </w:t>
      </w:r>
      <w:r>
        <w:rPr>
          <w:rFonts w:ascii="Arial" w:cs="Arial" w:eastAsia="Arial" w:hAnsi="Arial"/>
          <w:sz w:val="18"/>
          <w:szCs w:val="18"/>
          <w:color w:val="auto"/>
        </w:rPr>
        <w:t>No person will have any claim or right to be granted an Award,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grant of an Award will not be construed as giving a Participant the right to continued employment or any other relationship with the Company or any of its Subsidiaries. The Company and its Subsidiaries expressly reserve the right at any time to dismiss or otherwise terminate their respective relationships with a Participant free from any liability or claim under the Plan or any Award, except as expressly provided in an Award Agreement.</w:t>
      </w:r>
    </w:p>
    <w:p>
      <w:pPr>
        <w:spacing w:after="0" w:line="71" w:lineRule="exact"/>
        <w:rPr>
          <w:rFonts w:ascii="Arial" w:cs="Arial" w:eastAsia="Arial" w:hAnsi="Arial"/>
          <w:sz w:val="18"/>
          <w:szCs w:val="18"/>
          <w:color w:val="auto"/>
        </w:rPr>
      </w:pPr>
    </w:p>
    <w:p>
      <w:pPr>
        <w:jc w:val="both"/>
        <w:ind w:firstLine="1304"/>
        <w:spacing w:after="0" w:line="256" w:lineRule="auto"/>
        <w:tabs>
          <w:tab w:leader="none" w:pos="1934" w:val="left"/>
        </w:tabs>
        <w:numPr>
          <w:ilvl w:val="1"/>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No Rights as Stockholder; Certificates. </w:t>
      </w:r>
      <w:r>
        <w:rPr>
          <w:rFonts w:ascii="Arial" w:cs="Arial" w:eastAsia="Arial" w:hAnsi="Arial"/>
          <w:sz w:val="18"/>
          <w:szCs w:val="18"/>
          <w:color w:val="auto"/>
        </w:rPr>
        <w:t>Subject to the Award Agreement, no Participant or Designated Beneficiary</w:t>
      </w:r>
      <w:r>
        <w:rPr>
          <w:rFonts w:ascii="Arial" w:cs="Arial" w:eastAsia="Arial" w:hAnsi="Arial"/>
          <w:sz w:val="18"/>
          <w:szCs w:val="18"/>
          <w:i w:val="1"/>
          <w:iCs w:val="1"/>
          <w:color w:val="auto"/>
        </w:rPr>
        <w:t xml:space="preserve"> </w:t>
      </w:r>
      <w:r>
        <w:rPr>
          <w:rFonts w:ascii="Arial" w:cs="Arial" w:eastAsia="Arial" w:hAnsi="Arial"/>
          <w:sz w:val="18"/>
          <w:szCs w:val="18"/>
          <w:color w:val="auto"/>
        </w:rPr>
        <w:t>will have any rights as a stockholder with respect to any Shares to be distributed under an Award until becoming the record holder of such Shares. Notwithstanding any other provision of the Plan, unless the Administrator otherwise determines or Applicable Laws require, the Company will not be required to deliver to any Participant certificates evidencing Shares issued in connection with any Award and instead such Shares may be recorded in the books of the Company (or, as applicable, its transfer agent or stock plan administrator). The Company may place legends on stock certificates issued under the Plan that the Administrator deems necessary or appropriate to comply with Applicable Laws.</w:t>
      </w:r>
    </w:p>
    <w:p>
      <w:pPr>
        <w:sectPr>
          <w:pgSz w:w="11900" w:h="16838" w:orient="portrait"/>
          <w:cols w:equalWidth="0" w:num="1">
            <w:col w:w="11240"/>
          </w:cols>
          <w:pgMar w:left="320" w:top="998" w:right="339" w:bottom="1440" w:gutter="0" w:footer="0" w:header="0"/>
        </w:sectPr>
      </w:pPr>
    </w:p>
    <w:bookmarkStart w:id="15" w:name="page16"/>
    <w:bookmarkEnd w:id="15"/>
    <w:p>
      <w:pPr>
        <w:jc w:val="both"/>
        <w:ind w:left="-1120" w:firstLine="1304"/>
        <w:spacing w:after="0" w:line="259" w:lineRule="auto"/>
        <w:tabs>
          <w:tab w:leader="none" w:pos="818"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Effective Date. </w:t>
      </w:r>
      <w:r>
        <w:rPr>
          <w:rFonts w:ascii="Arial" w:cs="Arial" w:eastAsia="Arial" w:hAnsi="Arial"/>
          <w:sz w:val="18"/>
          <w:szCs w:val="18"/>
          <w:color w:val="auto"/>
        </w:rPr>
        <w:t>The Plan (as amended and restated) will become effective on the date it is approved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stockholders. No Incentive Stock Option may be granted under the Plan after ten years from the earlier of (i) the date the Board adopted the Plan or (ii) the date the Company’s stockholders approved the Plan, but Awards previously granted may extend beyond that date in accordance with the Plan. If the Plan is not approved by the Company’s stockholders, the Plan will not become effective, no Awards will be granted under the Plan, and the Original Plan will continue in full force and effect in accordance with its terms.</w:t>
      </w:r>
    </w:p>
    <w:p>
      <w:pPr>
        <w:spacing w:after="0" w:line="71" w:lineRule="exact"/>
        <w:rPr>
          <w:rFonts w:ascii="Arial" w:cs="Arial" w:eastAsia="Arial" w:hAnsi="Arial"/>
          <w:sz w:val="18"/>
          <w:szCs w:val="18"/>
          <w:color w:val="auto"/>
        </w:rPr>
      </w:pPr>
    </w:p>
    <w:p>
      <w:pPr>
        <w:jc w:val="both"/>
        <w:ind w:left="-1120" w:firstLine="1304"/>
        <w:spacing w:after="0" w:line="259" w:lineRule="auto"/>
        <w:tabs>
          <w:tab w:leader="none" w:pos="814"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Amendment of Plan. </w:t>
      </w:r>
      <w:r>
        <w:rPr>
          <w:rFonts w:ascii="Arial" w:cs="Arial" w:eastAsia="Arial" w:hAnsi="Arial"/>
          <w:sz w:val="18"/>
          <w:szCs w:val="18"/>
          <w:color w:val="auto"/>
        </w:rPr>
        <w:t>The Administrator may amend, suspend or terminate the Plan at any time; provided that no</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other than an increase to the Overall Share Limit, may materially and adversely affect any Award outstanding at the time of such amendment without the affected Participant’s consent. Awards outstanding at the time of any Plan suspension or termination will continue to be governed by the Plan and the Award Agreement, as in effect before such suspension or termination. The Board will obtain stockholder approval of any Plan amendment to the extent necessary to comply with Applicable Laws.</w:t>
      </w:r>
    </w:p>
    <w:p>
      <w:pPr>
        <w:spacing w:after="0" w:line="71" w:lineRule="exact"/>
        <w:rPr>
          <w:rFonts w:ascii="Arial" w:cs="Arial" w:eastAsia="Arial" w:hAnsi="Arial"/>
          <w:sz w:val="18"/>
          <w:szCs w:val="18"/>
          <w:color w:val="auto"/>
        </w:rPr>
      </w:pPr>
    </w:p>
    <w:p>
      <w:pPr>
        <w:jc w:val="both"/>
        <w:ind w:left="-1120" w:firstLine="1304"/>
        <w:spacing w:after="0" w:line="268" w:lineRule="auto"/>
        <w:tabs>
          <w:tab w:leader="none" w:pos="814"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Provisions for Foreign Participants</w:t>
      </w:r>
      <w:r>
        <w:rPr>
          <w:rFonts w:ascii="Arial" w:cs="Arial" w:eastAsia="Arial" w:hAnsi="Arial"/>
          <w:sz w:val="18"/>
          <w:szCs w:val="18"/>
          <w:color w:val="auto"/>
        </w:rPr>
        <w:t>. The Administrator may modify Awards granted to Participants who are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nationals or employed outside the United States or establish subplans or procedures under the Plan to address differences in laws, rules, regulations or customs of such foreign jurisdictions with respect to tax, securities, currency, employee benefit or other matters.</w:t>
      </w:r>
    </w:p>
    <w:p>
      <w:pPr>
        <w:spacing w:after="0" w:line="62" w:lineRule="exact"/>
        <w:rPr>
          <w:rFonts w:ascii="Arial" w:cs="Arial" w:eastAsia="Arial" w:hAnsi="Arial"/>
          <w:sz w:val="18"/>
          <w:szCs w:val="18"/>
          <w:color w:val="auto"/>
        </w:rPr>
      </w:pPr>
    </w:p>
    <w:p>
      <w:pPr>
        <w:ind w:left="820" w:hanging="63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Section 409A</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460" w:firstLine="1292"/>
        <w:spacing w:after="0" w:line="254" w:lineRule="auto"/>
        <w:tabs>
          <w:tab w:leader="none" w:pos="1482" w:val="left"/>
        </w:tabs>
        <w:numPr>
          <w:ilvl w:val="1"/>
          <w:numId w:val="18"/>
        </w:numPr>
        <w:rPr>
          <w:rFonts w:ascii="Arial" w:cs="Arial" w:eastAsia="Arial" w:hAnsi="Arial"/>
          <w:sz w:val="18"/>
          <w:szCs w:val="18"/>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The Company intends that all Awards be structured to comply with, or be exempt from, Section</w:t>
      </w:r>
      <w:r>
        <w:rPr>
          <w:rFonts w:ascii="Arial" w:cs="Arial" w:eastAsia="Arial" w:hAnsi="Arial"/>
          <w:sz w:val="18"/>
          <w:szCs w:val="18"/>
          <w:i w:val="1"/>
          <w:iCs w:val="1"/>
          <w:color w:val="auto"/>
        </w:rPr>
        <w:t xml:space="preserve"> </w:t>
      </w:r>
      <w:r>
        <w:rPr>
          <w:rFonts w:ascii="Arial" w:cs="Arial" w:eastAsia="Arial" w:hAnsi="Arial"/>
          <w:sz w:val="18"/>
          <w:szCs w:val="18"/>
          <w:color w:val="auto"/>
        </w:rPr>
        <w:t>409A, such that no adverse tax consequences, interest, or penalties under Section 409A apply. Notwithstanding anything in the Plan or any Award Agreement to the contrary, the Administrator may, without a Participant’s consent, amend this Plan or Awards, adopt policies and procedures, or take any other actions (including amendments, policies, procedures and retroactive actions) as are necessary or appropriate to preserve the intended tax treatment of Awards, including any such actions intended to (A) exempt this Plan or any Award from Section 409A, or (B) comply with Section 409A, including regulations, guidance, compliance programs and other interpretative authority that may be issued after an Award’s grant date. The Company makes no representations or warranties as to an Award’s tax treatment under Section 409A or otherwise. The Company will have no obligation under this Section 10(f) or otherwise to avoid the taxes, penalties or interest under Section 409A with respect to any Award and will have no liability to any Participant or any other person if any Award, compensation or other benefits under the Plan are determined to constitute noncompliant, “nonqualified deferred compensation” subject to taxes, penalties or interest under Section 409A.</w:t>
      </w:r>
    </w:p>
    <w:p>
      <w:pPr>
        <w:spacing w:after="0" w:line="74" w:lineRule="exact"/>
        <w:rPr>
          <w:rFonts w:ascii="Arial" w:cs="Arial" w:eastAsia="Arial" w:hAnsi="Arial"/>
          <w:sz w:val="18"/>
          <w:szCs w:val="18"/>
          <w:color w:val="auto"/>
        </w:rPr>
      </w:pPr>
    </w:p>
    <w:p>
      <w:pPr>
        <w:jc w:val="both"/>
        <w:ind w:left="-460" w:firstLine="1292"/>
        <w:spacing w:after="0" w:line="257" w:lineRule="auto"/>
        <w:tabs>
          <w:tab w:leader="none" w:pos="1481" w:val="left"/>
        </w:tabs>
        <w:numPr>
          <w:ilvl w:val="1"/>
          <w:numId w:val="18"/>
        </w:numPr>
        <w:rPr>
          <w:rFonts w:ascii="Arial" w:cs="Arial" w:eastAsia="Arial" w:hAnsi="Arial"/>
          <w:sz w:val="18"/>
          <w:szCs w:val="18"/>
          <w:color w:val="auto"/>
        </w:rPr>
      </w:pPr>
      <w:r>
        <w:rPr>
          <w:rFonts w:ascii="Arial" w:cs="Arial" w:eastAsia="Arial" w:hAnsi="Arial"/>
          <w:sz w:val="18"/>
          <w:szCs w:val="18"/>
          <w:i w:val="1"/>
          <w:iCs w:val="1"/>
          <w:color w:val="auto"/>
        </w:rPr>
        <w:t>Separation from Service</w:t>
      </w:r>
      <w:r>
        <w:rPr>
          <w:rFonts w:ascii="Arial" w:cs="Arial" w:eastAsia="Arial" w:hAnsi="Arial"/>
          <w:sz w:val="18"/>
          <w:szCs w:val="18"/>
          <w:color w:val="auto"/>
        </w:rPr>
        <w:t>. If an Award constitutes “nonqualified deferred compensation” under Section 409A,</w:t>
      </w:r>
      <w:r>
        <w:rPr>
          <w:rFonts w:ascii="Arial" w:cs="Arial" w:eastAsia="Arial" w:hAnsi="Arial"/>
          <w:sz w:val="18"/>
          <w:szCs w:val="18"/>
          <w:i w:val="1"/>
          <w:iCs w:val="1"/>
          <w:color w:val="auto"/>
        </w:rPr>
        <w:t xml:space="preserve"> </w:t>
      </w:r>
      <w:r>
        <w:rPr>
          <w:rFonts w:ascii="Arial" w:cs="Arial" w:eastAsia="Arial" w:hAnsi="Arial"/>
          <w:sz w:val="18"/>
          <w:szCs w:val="18"/>
          <w:color w:val="auto"/>
        </w:rPr>
        <w:t>any payment or settlement of such Award upon a termination of a Participant’s Service Provider relationship will, to the extent necessary to avoid taxes under Section 409A, be made only upon the Participant’s “separation from service” (within the meaning of Section 409A), whether such “separation from service” occurs upon or after the termination of the Participant’s Service Provider relationship. For purposes of this Plan or any Award Agreement relating to any such payments or benefits, references to a “termination,” “termination of employment” or like terms means a “separation from service.”</w:t>
      </w:r>
    </w:p>
    <w:p>
      <w:pPr>
        <w:spacing w:after="0" w:line="74" w:lineRule="exact"/>
        <w:rPr>
          <w:rFonts w:ascii="Arial" w:cs="Arial" w:eastAsia="Arial" w:hAnsi="Arial"/>
          <w:sz w:val="18"/>
          <w:szCs w:val="18"/>
          <w:color w:val="auto"/>
        </w:rPr>
      </w:pPr>
    </w:p>
    <w:p>
      <w:pPr>
        <w:jc w:val="both"/>
        <w:ind w:left="-460" w:firstLine="1292"/>
        <w:spacing w:after="0" w:line="255" w:lineRule="auto"/>
        <w:tabs>
          <w:tab w:leader="none" w:pos="1481" w:val="left"/>
        </w:tabs>
        <w:numPr>
          <w:ilvl w:val="1"/>
          <w:numId w:val="18"/>
        </w:numPr>
        <w:rPr>
          <w:rFonts w:ascii="Arial" w:cs="Arial" w:eastAsia="Arial" w:hAnsi="Arial"/>
          <w:sz w:val="18"/>
          <w:szCs w:val="18"/>
          <w:color w:val="auto"/>
        </w:rPr>
      </w:pPr>
      <w:r>
        <w:rPr>
          <w:rFonts w:ascii="Arial" w:cs="Arial" w:eastAsia="Arial" w:hAnsi="Arial"/>
          <w:sz w:val="18"/>
          <w:szCs w:val="18"/>
          <w:i w:val="1"/>
          <w:iCs w:val="1"/>
          <w:color w:val="auto"/>
        </w:rPr>
        <w:t>Payments to Specified Employees</w:t>
      </w:r>
      <w:r>
        <w:rPr>
          <w:rFonts w:ascii="Arial" w:cs="Arial" w:eastAsia="Arial" w:hAnsi="Arial"/>
          <w:sz w:val="18"/>
          <w:szCs w:val="18"/>
          <w:color w:val="auto"/>
        </w:rPr>
        <w:t>. Notwithstanding any contrary provision in the Plan or any Award</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any payment(s) of “nonqualified deferred compensation” required to be made under an Award subject to Section 409A to a “specified employee” (as defined under Section 409A and as the Administrator determines) due to his or her “separation from service” will, to the extent necessary to avoid taxes under Section 409A(a)(2)(B)(i) of the Code, be delayed for the six-month period immediately following such “separation from service” (or, if earlier, until the specified employee’s death) and will instead be paid (as set forth in the Award Agreement) on the day immediately following such six-month period or as soon as administratively practicable thereafter (without interest). Any payments of “nonqualified deferred compensation” under such Award payable more than six months following the Participant’s “separation from service” will be paid at the time or times the payments are otherwise scheduled to be made.</w:t>
      </w:r>
    </w:p>
    <w:p>
      <w:pPr>
        <w:spacing w:after="0" w:line="72" w:lineRule="exact"/>
        <w:rPr>
          <w:rFonts w:ascii="Arial" w:cs="Arial" w:eastAsia="Arial" w:hAnsi="Arial"/>
          <w:sz w:val="18"/>
          <w:szCs w:val="18"/>
          <w:color w:val="auto"/>
        </w:rPr>
      </w:pPr>
    </w:p>
    <w:p>
      <w:pPr>
        <w:jc w:val="both"/>
        <w:ind w:left="-1120" w:firstLine="1304"/>
        <w:spacing w:after="0" w:line="259" w:lineRule="auto"/>
        <w:tabs>
          <w:tab w:leader="none" w:pos="814"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Limitations on Liability</w:t>
      </w:r>
      <w:r>
        <w:rPr>
          <w:rFonts w:ascii="Arial" w:cs="Arial" w:eastAsia="Arial" w:hAnsi="Arial"/>
          <w:sz w:val="18"/>
          <w:szCs w:val="18"/>
          <w:color w:val="auto"/>
        </w:rPr>
        <w:t>. Notwithstanding any other provisions of the Plan, and to the extent allowable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Law and the Company’s charter and bylaws, no individual acting as a director, officer, other employee or agent of the Company or any Subsidiary will be liable to any Participant, former Participant, spouse, beneficiary, or any other person for any claim, loss, liability, or expense incurred in connection with the Plan or any Award, and such individual will not be personally liable with respect to the Plan because of any</w:t>
      </w:r>
    </w:p>
    <w:p>
      <w:pPr>
        <w:sectPr>
          <w:pgSz w:w="11900" w:h="16838" w:orient="portrait"/>
          <w:cols w:equalWidth="0" w:num="1">
            <w:col w:w="10120"/>
          </w:cols>
          <w:pgMar w:left="1440" w:top="998" w:right="339" w:bottom="1440" w:gutter="0" w:footer="0" w:header="0"/>
        </w:sectPr>
      </w:pPr>
    </w:p>
    <w:bookmarkStart w:id="16" w:name="page17"/>
    <w:bookmarkEnd w:id="16"/>
    <w:p>
      <w:pPr>
        <w:jc w:val="both"/>
        <w:spacing w:after="0" w:line="259" w:lineRule="auto"/>
        <w:rPr>
          <w:sz w:val="20"/>
          <w:szCs w:val="20"/>
          <w:color w:val="auto"/>
        </w:rPr>
      </w:pPr>
      <w:r>
        <w:rPr>
          <w:rFonts w:ascii="Arial" w:cs="Arial" w:eastAsia="Arial" w:hAnsi="Arial"/>
          <w:sz w:val="18"/>
          <w:szCs w:val="18"/>
          <w:color w:val="auto"/>
        </w:rPr>
        <w:t>contract or other instrument executed in his or her capacity as an Administrator, director, officer, other employee or agent of the Company or any Subsidiary. The Company will indemnify and hold harmless each director, officer, other employee and agent of the Company or any Subsidiary that has been or will be granted or delegated any duty or power relating to the Plan’s administration or interpretation, against any cost or expense (including attorneys’ fees) or liability (including any sum paid in settlement of a claim with the Administrator’s approval) arising from any act or omission concerning this Plan unless arising from such person’s own fraud or bad faith.</w:t>
      </w:r>
    </w:p>
    <w:p>
      <w:pPr>
        <w:spacing w:after="0" w:line="71" w:lineRule="exact"/>
        <w:rPr>
          <w:sz w:val="20"/>
          <w:szCs w:val="20"/>
          <w:color w:val="auto"/>
        </w:rPr>
      </w:pPr>
    </w:p>
    <w:p>
      <w:pPr>
        <w:jc w:val="both"/>
        <w:ind w:firstLine="1304"/>
        <w:spacing w:after="0" w:line="262" w:lineRule="auto"/>
        <w:tabs>
          <w:tab w:leader="none" w:pos="1934"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Lock-Up Period</w:t>
      </w:r>
      <w:r>
        <w:rPr>
          <w:rFonts w:ascii="Arial" w:cs="Arial" w:eastAsia="Arial" w:hAnsi="Arial"/>
          <w:sz w:val="18"/>
          <w:szCs w:val="18"/>
          <w:color w:val="auto"/>
        </w:rPr>
        <w:t>. The Company may, at the request of any underwriter representative or otherwise, in connection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registering the offering of any Company securities under the Securities Act, prohibit Participants from, directly or indirectly, selling or otherwise transferring any Shares or other Company securities during a period of up to 180 days following the effective date of a Company registration statement filed under the Securities Act, or such longer period as determined by the underwriter.</w:t>
      </w:r>
    </w:p>
    <w:p>
      <w:pPr>
        <w:spacing w:after="0" w:line="68" w:lineRule="exact"/>
        <w:rPr>
          <w:rFonts w:ascii="Arial" w:cs="Arial" w:eastAsia="Arial" w:hAnsi="Arial"/>
          <w:sz w:val="18"/>
          <w:szCs w:val="18"/>
          <w:color w:val="auto"/>
        </w:rPr>
      </w:pPr>
    </w:p>
    <w:p>
      <w:pPr>
        <w:jc w:val="both"/>
        <w:ind w:firstLine="1304"/>
        <w:spacing w:after="0" w:line="252" w:lineRule="auto"/>
        <w:tabs>
          <w:tab w:leader="none" w:pos="1942"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Data Privacy</w:t>
      </w:r>
      <w:r>
        <w:rPr>
          <w:rFonts w:ascii="Arial" w:cs="Arial" w:eastAsia="Arial" w:hAnsi="Arial"/>
          <w:sz w:val="18"/>
          <w:szCs w:val="18"/>
          <w:color w:val="auto"/>
        </w:rPr>
        <w:t>. As a condition for receiving any Award, each Participant explicitly and unambiguously consents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collection, use and transfer, in electronic or other form, of personal data as described in this paragraph by and among the Company and its Subsidiaries and affiliates exclusively for implementing, administering and managing the Participant’s participation in the Plan. The Company and its Subsidiaries and affiliates may hold certain personal information about a Participant, including the Participant’s name, address and telephone number; birthdate; social security number, insurance number or other identification number; salary; nationality; job title(s); any Shares held in the Company or its Subsidiaries and affiliates; and Award details, to implement, manage and administer the Plan and Awards (the “</w:t>
      </w:r>
      <w:r>
        <w:rPr>
          <w:rFonts w:ascii="Arial" w:cs="Arial" w:eastAsia="Arial" w:hAnsi="Arial"/>
          <w:sz w:val="18"/>
          <w:szCs w:val="18"/>
          <w:b w:val="1"/>
          <w:bCs w:val="1"/>
          <w:i w:val="1"/>
          <w:iCs w:val="1"/>
          <w:color w:val="auto"/>
        </w:rPr>
        <w:t>Data</w:t>
      </w:r>
      <w:r>
        <w:rPr>
          <w:rFonts w:ascii="Arial" w:cs="Arial" w:eastAsia="Arial" w:hAnsi="Arial"/>
          <w:sz w:val="18"/>
          <w:szCs w:val="18"/>
          <w:color w:val="auto"/>
        </w:rPr>
        <w:t>”). The Company and its Subsidiaries and affiliates may transfer the Data amongst themselves as necessary to implement, administer and manage a Participant’s participation in the Plan, and the Company and its Subsidiaries and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the recipients’ country. By accepting an Award,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The Data related to a Participant will be held only as long as necessary to implement, administer, and manage the Participant’s participation in the Plan. A Participant may, at any time, view the Data that the Company and its Subsidiaries and affiliates hold regarding such Participant, request additional information about the storage and processing of the Data regarding such Participant, recommend any necessary corrections to the Data regarding the Participant or refuse or withdraw the consents in this Section 10(i) in writing, without cost, by contacting the local human resources representative. The Company may cancel Participant’s ability to participate in the Plan and, in the Administrator’s discretion, the Participant may forfeit any outstanding Awards if the Participant refuses or withdraws the consents in this Section 10(i). For more information on the consequences of refusing or withdrawing consent, Participants may contact their local human resources representative.</w:t>
      </w:r>
    </w:p>
    <w:p>
      <w:pPr>
        <w:spacing w:after="0" w:line="81" w:lineRule="exact"/>
        <w:rPr>
          <w:rFonts w:ascii="Arial" w:cs="Arial" w:eastAsia="Arial" w:hAnsi="Arial"/>
          <w:sz w:val="18"/>
          <w:szCs w:val="18"/>
          <w:color w:val="auto"/>
        </w:rPr>
      </w:pPr>
    </w:p>
    <w:p>
      <w:pPr>
        <w:jc w:val="both"/>
        <w:ind w:firstLine="1304"/>
        <w:spacing w:after="0" w:line="268" w:lineRule="auto"/>
        <w:tabs>
          <w:tab w:leader="none" w:pos="1942"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Severability</w:t>
      </w:r>
      <w:r>
        <w:rPr>
          <w:rFonts w:ascii="Arial" w:cs="Arial" w:eastAsia="Arial" w:hAnsi="Arial"/>
          <w:sz w:val="18"/>
          <w:szCs w:val="18"/>
          <w:color w:val="auto"/>
        </w:rPr>
        <w:t>. If any portion of the Plan or any action taken under it is held illegal or invalid for any reason, the</w:t>
      </w:r>
      <w:r>
        <w:rPr>
          <w:rFonts w:ascii="Arial" w:cs="Arial" w:eastAsia="Arial" w:hAnsi="Arial"/>
          <w:sz w:val="18"/>
          <w:szCs w:val="18"/>
          <w:i w:val="1"/>
          <w:iCs w:val="1"/>
          <w:color w:val="auto"/>
        </w:rPr>
        <w:t xml:space="preserve"> </w:t>
      </w:r>
      <w:r>
        <w:rPr>
          <w:rFonts w:ascii="Arial" w:cs="Arial" w:eastAsia="Arial" w:hAnsi="Arial"/>
          <w:sz w:val="18"/>
          <w:szCs w:val="18"/>
          <w:color w:val="auto"/>
        </w:rPr>
        <w:t>illegality or invalidity will not affect the remaining parts of the Plan, and the Plan will be construed and enforced as if the illegal or invalid provisions had been excluded, and the illegal or invalid action will be null and void.</w:t>
      </w:r>
    </w:p>
    <w:p>
      <w:pPr>
        <w:spacing w:after="0" w:line="62" w:lineRule="exact"/>
        <w:rPr>
          <w:rFonts w:ascii="Arial" w:cs="Arial" w:eastAsia="Arial" w:hAnsi="Arial"/>
          <w:sz w:val="18"/>
          <w:szCs w:val="18"/>
          <w:color w:val="auto"/>
        </w:rPr>
      </w:pPr>
    </w:p>
    <w:p>
      <w:pPr>
        <w:jc w:val="both"/>
        <w:ind w:firstLine="1304"/>
        <w:spacing w:after="0" w:line="268" w:lineRule="auto"/>
        <w:tabs>
          <w:tab w:leader="none" w:pos="1938"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Governing Documents</w:t>
      </w:r>
      <w:r>
        <w:rPr>
          <w:rFonts w:ascii="Arial" w:cs="Arial" w:eastAsia="Arial" w:hAnsi="Arial"/>
          <w:sz w:val="18"/>
          <w:szCs w:val="18"/>
          <w:color w:val="auto"/>
        </w:rPr>
        <w:t>. If any contradiction occurs between the Plan and any Award Agreement or other written</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between a Participant and the Company (or any Subsidiary) that the Administrator has approved, the Plan will govern, unless it is expressly specified in such Award Agreement or other written document that a specific provision of the Plan will not apply.</w:t>
      </w:r>
    </w:p>
    <w:p>
      <w:pPr>
        <w:spacing w:after="0" w:line="62" w:lineRule="exact"/>
        <w:rPr>
          <w:rFonts w:ascii="Arial" w:cs="Arial" w:eastAsia="Arial" w:hAnsi="Arial"/>
          <w:sz w:val="18"/>
          <w:szCs w:val="18"/>
          <w:color w:val="auto"/>
        </w:rPr>
      </w:pPr>
    </w:p>
    <w:p>
      <w:pPr>
        <w:jc w:val="both"/>
        <w:ind w:firstLine="1304"/>
        <w:spacing w:after="0" w:line="268" w:lineRule="auto"/>
        <w:tabs>
          <w:tab w:leader="none" w:pos="1942"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The Plan and all Awards will be governed by and interpreted in accordance with the laws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State of Delaware, disregarding any state’s choice-of-law principles requiring the application of a jurisdiction’s laws other than the State of Delaware.</w:t>
      </w:r>
    </w:p>
    <w:p>
      <w:pPr>
        <w:spacing w:after="0" w:line="62" w:lineRule="exact"/>
        <w:rPr>
          <w:rFonts w:ascii="Arial" w:cs="Arial" w:eastAsia="Arial" w:hAnsi="Arial"/>
          <w:sz w:val="18"/>
          <w:szCs w:val="18"/>
          <w:color w:val="auto"/>
        </w:rPr>
      </w:pPr>
    </w:p>
    <w:p>
      <w:pPr>
        <w:jc w:val="both"/>
        <w:ind w:firstLine="1304"/>
        <w:spacing w:after="0" w:line="259" w:lineRule="auto"/>
        <w:tabs>
          <w:tab w:leader="none" w:pos="1944"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Claw-back Provisions</w:t>
      </w:r>
      <w:r>
        <w:rPr>
          <w:rFonts w:ascii="Arial" w:cs="Arial" w:eastAsia="Arial" w:hAnsi="Arial"/>
          <w:sz w:val="18"/>
          <w:szCs w:val="18"/>
          <w:color w:val="auto"/>
        </w:rPr>
        <w:t>. All Awards (including any proceeds, gains or other economic benefit the Participant actually</w:t>
      </w:r>
      <w:r>
        <w:rPr>
          <w:rFonts w:ascii="Arial" w:cs="Arial" w:eastAsia="Arial" w:hAnsi="Arial"/>
          <w:sz w:val="18"/>
          <w:szCs w:val="18"/>
          <w:i w:val="1"/>
          <w:iCs w:val="1"/>
          <w:color w:val="auto"/>
        </w:rPr>
        <w:t xml:space="preserve"> </w:t>
      </w:r>
      <w:r>
        <w:rPr>
          <w:rFonts w:ascii="Arial" w:cs="Arial" w:eastAsia="Arial" w:hAnsi="Arial"/>
          <w:sz w:val="18"/>
          <w:szCs w:val="18"/>
          <w:color w:val="auto"/>
        </w:rPr>
        <w:t>or constructively receives upon receipt or exercise of any Award or upon the receipt or resale of any Shares underlying the Award) will be subject to any Company claw-back policy implemented to comply with Applicable Laws, including the Company’s Policy for Recovery of Erroneously Awarded Compensation or any other clawback policy adopted to comply with Applicable Laws, as set forth in such claw-back policy or the Award Agreement.</w:t>
      </w:r>
    </w:p>
    <w:p>
      <w:pPr>
        <w:spacing w:after="0" w:line="71" w:lineRule="exact"/>
        <w:rPr>
          <w:rFonts w:ascii="Arial" w:cs="Arial" w:eastAsia="Arial" w:hAnsi="Arial"/>
          <w:sz w:val="18"/>
          <w:szCs w:val="18"/>
          <w:color w:val="auto"/>
        </w:rPr>
      </w:pPr>
    </w:p>
    <w:p>
      <w:pPr>
        <w:ind w:firstLine="1304"/>
        <w:spacing w:after="0" w:line="287" w:lineRule="auto"/>
        <w:tabs>
          <w:tab w:leader="none" w:pos="1934"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Titles and Headings</w:t>
      </w:r>
      <w:r>
        <w:rPr>
          <w:rFonts w:ascii="Arial" w:cs="Arial" w:eastAsia="Arial" w:hAnsi="Arial"/>
          <w:sz w:val="18"/>
          <w:szCs w:val="18"/>
          <w:color w:val="auto"/>
        </w:rPr>
        <w:t>. The titles and headings of the Sections in the Plan are for convenience of reference only and, if</w:t>
      </w:r>
      <w:r>
        <w:rPr>
          <w:rFonts w:ascii="Arial" w:cs="Arial" w:eastAsia="Arial" w:hAnsi="Arial"/>
          <w:sz w:val="18"/>
          <w:szCs w:val="18"/>
          <w:i w:val="1"/>
          <w:iCs w:val="1"/>
          <w:color w:val="auto"/>
        </w:rPr>
        <w:t xml:space="preserve"> </w:t>
      </w:r>
      <w:r>
        <w:rPr>
          <w:rFonts w:ascii="Arial" w:cs="Arial" w:eastAsia="Arial" w:hAnsi="Arial"/>
          <w:sz w:val="18"/>
          <w:szCs w:val="18"/>
          <w:color w:val="auto"/>
        </w:rPr>
        <w:t>any conflict, the Plan’s text, rather than such titles or headings, will control.</w:t>
      </w:r>
    </w:p>
    <w:p>
      <w:pPr>
        <w:sectPr>
          <w:pgSz w:w="11900" w:h="16838" w:orient="portrait"/>
          <w:cols w:equalWidth="0" w:num="1">
            <w:col w:w="11240"/>
          </w:cols>
          <w:pgMar w:left="320" w:top="998" w:right="339" w:bottom="1440" w:gutter="0" w:footer="0" w:header="0"/>
        </w:sectPr>
      </w:pPr>
    </w:p>
    <w:bookmarkStart w:id="17" w:name="page18"/>
    <w:bookmarkEnd w:id="17"/>
    <w:p>
      <w:pPr>
        <w:jc w:val="both"/>
        <w:ind w:left="-656" w:firstLine="1304"/>
        <w:spacing w:after="0" w:line="262" w:lineRule="auto"/>
        <w:tabs>
          <w:tab w:leader="none" w:pos="1278" w:val="left"/>
        </w:tabs>
        <w:numPr>
          <w:ilvl w:val="1"/>
          <w:numId w:val="20"/>
        </w:numPr>
        <w:rPr>
          <w:rFonts w:ascii="Arial" w:cs="Arial" w:eastAsia="Arial" w:hAnsi="Arial"/>
          <w:sz w:val="18"/>
          <w:szCs w:val="18"/>
          <w:color w:val="auto"/>
        </w:rPr>
      </w:pPr>
      <w:r>
        <w:rPr>
          <w:rFonts w:ascii="Arial" w:cs="Arial" w:eastAsia="Arial" w:hAnsi="Arial"/>
          <w:sz w:val="18"/>
          <w:szCs w:val="18"/>
          <w:i w:val="1"/>
          <w:iCs w:val="1"/>
          <w:color w:val="auto"/>
        </w:rPr>
        <w:t>Conformity to Applicable Laws</w:t>
      </w:r>
      <w:r>
        <w:rPr>
          <w:rFonts w:ascii="Arial" w:cs="Arial" w:eastAsia="Arial" w:hAnsi="Arial"/>
          <w:sz w:val="18"/>
          <w:szCs w:val="18"/>
          <w:color w:val="auto"/>
        </w:rPr>
        <w:t>. Participant acknowledges that the Plan is intended to conform to the extent</w:t>
      </w:r>
      <w:r>
        <w:rPr>
          <w:rFonts w:ascii="Arial" w:cs="Arial" w:eastAsia="Arial" w:hAnsi="Arial"/>
          <w:sz w:val="18"/>
          <w:szCs w:val="18"/>
          <w:i w:val="1"/>
          <w:iCs w:val="1"/>
          <w:color w:val="auto"/>
        </w:rPr>
        <w:t xml:space="preserve"> </w:t>
      </w:r>
      <w:r>
        <w:rPr>
          <w:rFonts w:ascii="Arial" w:cs="Arial" w:eastAsia="Arial" w:hAnsi="Arial"/>
          <w:sz w:val="18"/>
          <w:szCs w:val="18"/>
          <w:color w:val="auto"/>
        </w:rPr>
        <w:t>necessary with Applicable Laws. Notwithstanding anything herein to the contrary, the Plan and all Awards will be administered only in conformance with Applicable Laws. To the extent Applicable Laws permit, the Plan and all Award Agreements will be deemed amended as necessary to conform to Applicable Laws.</w:t>
      </w:r>
    </w:p>
    <w:p>
      <w:pPr>
        <w:spacing w:after="0" w:line="68" w:lineRule="exact"/>
        <w:rPr>
          <w:rFonts w:ascii="Arial" w:cs="Arial" w:eastAsia="Arial" w:hAnsi="Arial"/>
          <w:sz w:val="18"/>
          <w:szCs w:val="18"/>
          <w:color w:val="auto"/>
        </w:rPr>
      </w:pPr>
    </w:p>
    <w:p>
      <w:pPr>
        <w:jc w:val="both"/>
        <w:ind w:left="-656" w:firstLine="1304"/>
        <w:spacing w:after="0" w:line="268" w:lineRule="auto"/>
        <w:tabs>
          <w:tab w:leader="none" w:pos="1278" w:val="left"/>
        </w:tabs>
        <w:numPr>
          <w:ilvl w:val="1"/>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Relationship to Other Benefits. </w:t>
      </w:r>
      <w:r>
        <w:rPr>
          <w:rFonts w:ascii="Arial" w:cs="Arial" w:eastAsia="Arial" w:hAnsi="Arial"/>
          <w:sz w:val="18"/>
          <w:szCs w:val="18"/>
          <w:color w:val="auto"/>
        </w:rPr>
        <w:t>No payment under the Plan will be taken into account in determining any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under any pension, retirement, savings, profit sharing, group insurance, welfare or other benefit plan of the Company or any Subsidiary except as expressly provided in writing in such other plan or an agreement thereunder.</w:t>
      </w:r>
    </w:p>
    <w:p>
      <w:pPr>
        <w:spacing w:after="0" w:line="62" w:lineRule="exact"/>
        <w:rPr>
          <w:rFonts w:ascii="Arial" w:cs="Arial" w:eastAsia="Arial" w:hAnsi="Arial"/>
          <w:sz w:val="18"/>
          <w:szCs w:val="18"/>
          <w:color w:val="auto"/>
        </w:rPr>
      </w:pPr>
    </w:p>
    <w:p>
      <w:pPr>
        <w:ind w:left="624" w:hanging="624"/>
        <w:spacing w:after="0"/>
        <w:tabs>
          <w:tab w:leader="none" w:pos="624"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Definitions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used in the Plan, the following words and phrases will have the following meanings:</w:t>
      </w:r>
    </w:p>
    <w:p>
      <w:pPr>
        <w:spacing w:after="0" w:line="117" w:lineRule="exact"/>
        <w:rPr>
          <w:rFonts w:ascii="Arial" w:cs="Arial" w:eastAsia="Arial" w:hAnsi="Arial"/>
          <w:sz w:val="18"/>
          <w:szCs w:val="18"/>
          <w:color w:val="auto"/>
        </w:rPr>
      </w:pPr>
    </w:p>
    <w:p>
      <w:pPr>
        <w:ind w:left="-656" w:firstLine="1304"/>
        <w:spacing w:after="0" w:line="287" w:lineRule="auto"/>
        <w:tabs>
          <w:tab w:leader="none" w:pos="1278" w:val="left"/>
        </w:tabs>
        <w:numPr>
          <w:ilvl w:val="1"/>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Administrator</w:t>
      </w:r>
      <w:r>
        <w:rPr>
          <w:rFonts w:ascii="Arial" w:cs="Arial" w:eastAsia="Arial" w:hAnsi="Arial"/>
          <w:sz w:val="18"/>
          <w:szCs w:val="18"/>
          <w:color w:val="auto"/>
        </w:rPr>
        <w:t>” means the Board or a Committee to the extent that the Board’s powers or authority under the Plan have been delegated to such Committee.</w:t>
      </w:r>
    </w:p>
    <w:p>
      <w:pPr>
        <w:spacing w:after="0" w:line="44" w:lineRule="exact"/>
        <w:rPr>
          <w:rFonts w:ascii="Arial" w:cs="Arial" w:eastAsia="Arial" w:hAnsi="Arial"/>
          <w:sz w:val="18"/>
          <w:szCs w:val="18"/>
          <w:color w:val="auto"/>
        </w:rPr>
      </w:pPr>
    </w:p>
    <w:p>
      <w:pPr>
        <w:jc w:val="both"/>
        <w:ind w:left="-656" w:firstLine="1304"/>
        <w:spacing w:after="0" w:line="268" w:lineRule="auto"/>
        <w:tabs>
          <w:tab w:leader="none" w:pos="1278" w:val="left"/>
        </w:tabs>
        <w:numPr>
          <w:ilvl w:val="1"/>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Accounting Standards</w:t>
      </w:r>
      <w:r>
        <w:rPr>
          <w:rFonts w:ascii="Arial" w:cs="Arial" w:eastAsia="Arial" w:hAnsi="Arial"/>
          <w:sz w:val="18"/>
          <w:szCs w:val="18"/>
          <w:color w:val="auto"/>
        </w:rPr>
        <w:t>” means the U.S. Generally Accepted Accounting Principles, International Financial Reporting Standards or other accounting principles or standards applicable to the Company’s financial statements under U.S. federal securities laws.</w:t>
      </w:r>
    </w:p>
    <w:p>
      <w:pPr>
        <w:spacing w:after="0" w:line="62" w:lineRule="exact"/>
        <w:rPr>
          <w:rFonts w:ascii="Arial" w:cs="Arial" w:eastAsia="Arial" w:hAnsi="Arial"/>
          <w:sz w:val="18"/>
          <w:szCs w:val="18"/>
          <w:color w:val="auto"/>
        </w:rPr>
      </w:pPr>
    </w:p>
    <w:p>
      <w:pPr>
        <w:jc w:val="both"/>
        <w:ind w:left="-656" w:firstLine="1304"/>
        <w:spacing w:after="0" w:line="262" w:lineRule="auto"/>
        <w:tabs>
          <w:tab w:leader="none" w:pos="1282" w:val="left"/>
        </w:tabs>
        <w:numPr>
          <w:ilvl w:val="1"/>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Laws</w:t>
      </w:r>
      <w:r>
        <w:rPr>
          <w:rFonts w:ascii="Arial" w:cs="Arial" w:eastAsia="Arial" w:hAnsi="Arial"/>
          <w:sz w:val="18"/>
          <w:szCs w:val="18"/>
          <w:color w:val="auto"/>
        </w:rPr>
        <w:t>” include, without limitation: (a) provisions of the Code, the Securities Act, the Exchange Act and any rules or regulations thereunder; (b) corporate, securities, tax or other laws, statutes, rules, requirements or regulations, whether U.S. or non-U.S. federal, state or local; and (c) rules of any securities exchange or automated quotation system on which the Shares are listed, quoted or traded.</w:t>
      </w:r>
    </w:p>
    <w:p>
      <w:pPr>
        <w:spacing w:after="0" w:line="68" w:lineRule="exact"/>
        <w:rPr>
          <w:rFonts w:ascii="Arial" w:cs="Arial" w:eastAsia="Arial" w:hAnsi="Arial"/>
          <w:sz w:val="18"/>
          <w:szCs w:val="18"/>
          <w:color w:val="auto"/>
        </w:rPr>
      </w:pPr>
    </w:p>
    <w:p>
      <w:pPr>
        <w:ind w:left="-656" w:right="20" w:firstLine="1304"/>
        <w:spacing w:after="0" w:line="287" w:lineRule="auto"/>
        <w:tabs>
          <w:tab w:leader="none" w:pos="1278" w:val="left"/>
        </w:tabs>
        <w:numPr>
          <w:ilvl w:val="1"/>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individually or collectively, a grant under the Plan of Options, Stock Appreciation Rights, Restricted Stock, Restricted Stock Units, Dividend Equivalents or Other Stock or Cash Based Awards.</w:t>
      </w:r>
    </w:p>
    <w:p>
      <w:pPr>
        <w:spacing w:after="0" w:line="44" w:lineRule="exact"/>
        <w:rPr>
          <w:rFonts w:ascii="Arial" w:cs="Arial" w:eastAsia="Arial" w:hAnsi="Arial"/>
          <w:sz w:val="18"/>
          <w:szCs w:val="18"/>
          <w:color w:val="auto"/>
        </w:rPr>
      </w:pPr>
    </w:p>
    <w:p>
      <w:pPr>
        <w:ind w:left="-656" w:right="20" w:firstLine="1304"/>
        <w:spacing w:after="0" w:line="287" w:lineRule="auto"/>
        <w:tabs>
          <w:tab w:leader="none" w:pos="1278" w:val="left"/>
        </w:tabs>
        <w:numPr>
          <w:ilvl w:val="1"/>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means a written agreement evidencing an Award, which may be electronic, that contains such terms and conditions as the Administrator determines, consistent with and subject to the terms and conditions of the Plan.</w:t>
      </w:r>
    </w:p>
    <w:p>
      <w:pPr>
        <w:spacing w:after="0" w:line="44" w:lineRule="exact"/>
        <w:rPr>
          <w:rFonts w:ascii="Arial" w:cs="Arial" w:eastAsia="Arial" w:hAnsi="Arial"/>
          <w:sz w:val="18"/>
          <w:szCs w:val="18"/>
          <w:color w:val="auto"/>
        </w:rPr>
      </w:pPr>
    </w:p>
    <w:p>
      <w:pPr>
        <w:ind w:left="1284" w:hanging="636"/>
        <w:spacing w:after="0"/>
        <w:tabs>
          <w:tab w:leader="none" w:pos="1284" w:val="left"/>
        </w:tabs>
        <w:numPr>
          <w:ilvl w:val="1"/>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117" w:lineRule="exact"/>
        <w:rPr>
          <w:rFonts w:ascii="Arial" w:cs="Arial" w:eastAsia="Arial" w:hAnsi="Arial"/>
          <w:sz w:val="18"/>
          <w:szCs w:val="18"/>
          <w:color w:val="auto"/>
        </w:rPr>
      </w:pPr>
    </w:p>
    <w:p>
      <w:pPr>
        <w:jc w:val="both"/>
        <w:ind w:left="-656" w:firstLine="1304"/>
        <w:spacing w:after="0" w:line="253" w:lineRule="auto"/>
        <w:tabs>
          <w:tab w:leader="none" w:pos="1278" w:val="left"/>
        </w:tabs>
        <w:numPr>
          <w:ilvl w:val="1"/>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means (i) any sale, lease, exchange, or other transfer (in one transaction or series of related transactions) of all or substantially all the Company’s assets to any person (as defined in Section 3(a)(9) of the Exchange Act) or group of related persons (as such term is defined under Section 13(d) of the Exchange Act, “</w:t>
      </w:r>
      <w:r>
        <w:rPr>
          <w:rFonts w:ascii="Arial" w:cs="Arial" w:eastAsia="Arial" w:hAnsi="Arial"/>
          <w:sz w:val="18"/>
          <w:szCs w:val="18"/>
          <w:b w:val="1"/>
          <w:bCs w:val="1"/>
          <w:i w:val="1"/>
          <w:iCs w:val="1"/>
          <w:color w:val="auto"/>
        </w:rPr>
        <w:t>Group</w:t>
      </w:r>
      <w:r>
        <w:rPr>
          <w:rFonts w:ascii="Arial" w:cs="Arial" w:eastAsia="Arial" w:hAnsi="Arial"/>
          <w:sz w:val="18"/>
          <w:szCs w:val="18"/>
          <w:color w:val="auto"/>
        </w:rPr>
        <w:t>”); (ii) the Company’s stockholders approve and complete any plan or proposal for the liquidation or dissolution of the Company; (iii) any person or Group becomes the beneficial owner, directly or indirectly, of shares representing more than 50.1% of the aggregate voting power of the issued and outstanding stock entitled to vote in the election of directors of the Company (“</w:t>
      </w:r>
      <w:r>
        <w:rPr>
          <w:rFonts w:ascii="Arial" w:cs="Arial" w:eastAsia="Arial" w:hAnsi="Arial"/>
          <w:sz w:val="18"/>
          <w:szCs w:val="18"/>
          <w:b w:val="1"/>
          <w:bCs w:val="1"/>
          <w:i w:val="1"/>
          <w:iCs w:val="1"/>
          <w:color w:val="auto"/>
        </w:rPr>
        <w:t>Voting Stock</w:t>
      </w:r>
      <w:r>
        <w:rPr>
          <w:rFonts w:ascii="Arial" w:cs="Arial" w:eastAsia="Arial" w:hAnsi="Arial"/>
          <w:sz w:val="18"/>
          <w:szCs w:val="18"/>
          <w:color w:val="auto"/>
        </w:rPr>
        <w:t>”) and such person or Group has the power and authority to vote such shares; or (iv) the completion of a merger, reorganization, consolidation or other corporate transaction involving the Company in which holders of the Company’s Voting Stock immediately before the completion of the transaction hold, directly or indirectly, immediately after the transaction, 50% or less of the common equity interest in the surviving corporation or other entity resulting from the transaction; provided that the following events will not constitute a “Change in Control”: (A) a reincorporation of the Company solely to change its jurisdiction; or (B) a transaction primarily undertaken to create a holding company that will be owned in substantially the same proportion by the persons who held the Company’s securities immediately before such transaction. Notwithstanding the foregoing, if a Change in Control would trigger a payment or settlement event for any Award that constitutes “nonqualified deferred compensation,” the transaction or event constituting the Change in Control must also constitute a “change in control event” (as defined in Treasury Regulation §1.409A-3(i)(5)) to trigger the payment or settlement event for such Award, to the extent required by Section 409A.</w:t>
      </w:r>
    </w:p>
    <w:p>
      <w:pPr>
        <w:spacing w:after="0" w:line="75" w:lineRule="exact"/>
        <w:rPr>
          <w:rFonts w:ascii="Arial" w:cs="Arial" w:eastAsia="Arial" w:hAnsi="Arial"/>
          <w:sz w:val="18"/>
          <w:szCs w:val="18"/>
          <w:color w:val="auto"/>
        </w:rPr>
      </w:pPr>
    </w:p>
    <w:p>
      <w:pPr>
        <w:ind w:left="1284" w:hanging="636"/>
        <w:spacing w:after="0"/>
        <w:tabs>
          <w:tab w:leader="none" w:pos="1284" w:val="left"/>
        </w:tabs>
        <w:numPr>
          <w:ilvl w:val="1"/>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and the regulations issued thereunder.</w:t>
      </w:r>
    </w:p>
    <w:p>
      <w:pPr>
        <w:spacing w:after="0" w:line="117" w:lineRule="exact"/>
        <w:rPr>
          <w:rFonts w:ascii="Arial" w:cs="Arial" w:eastAsia="Arial" w:hAnsi="Arial"/>
          <w:sz w:val="18"/>
          <w:szCs w:val="18"/>
          <w:color w:val="auto"/>
        </w:rPr>
      </w:pPr>
    </w:p>
    <w:p>
      <w:pPr>
        <w:jc w:val="both"/>
        <w:ind w:left="-656" w:firstLine="1304"/>
        <w:spacing w:after="0" w:line="259" w:lineRule="auto"/>
        <w:tabs>
          <w:tab w:leader="none" w:pos="1286" w:val="left"/>
        </w:tabs>
        <w:numPr>
          <w:ilvl w:val="1"/>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one or more committees or subcommittees comprised of one or more Company directors or executive officers, to the extent Applicable Laws permit. To the extent required to comply with the provisions of Rule 16b-3, it is intended that each member of the Committee will be, at the time the Committee takes any action with respect to an Award that is subject to Rule 16b-3, a “non-employee director” within the meaning of Rule 16b-3; however, a Committee member’s failure to qualify as a “non-employee director” within the meaning of Rule 16b-3 will not invalidate any Award granted by the Committee that is otherwise validly granted under the Plan.</w:t>
      </w:r>
    </w:p>
    <w:p>
      <w:pPr>
        <w:sectPr>
          <w:pgSz w:w="11900" w:h="16838" w:orient="portrait"/>
          <w:cols w:equalWidth="0" w:num="1">
            <w:col w:w="10584"/>
          </w:cols>
          <w:pgMar w:left="976" w:top="998" w:right="339" w:bottom="1440" w:gutter="0" w:footer="0" w:header="0"/>
        </w:sectPr>
      </w:pPr>
    </w:p>
    <w:bookmarkStart w:id="18" w:name="page19"/>
    <w:bookmarkEnd w:id="18"/>
    <w:p>
      <w:pPr>
        <w:ind w:left="1940" w:hanging="636"/>
        <w:spacing w:after="0"/>
        <w:tabs>
          <w:tab w:leader="none" w:pos="1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common stock of the Company.</w:t>
      </w:r>
    </w:p>
    <w:p>
      <w:pPr>
        <w:spacing w:after="0" w:line="117" w:lineRule="exact"/>
        <w:rPr>
          <w:rFonts w:ascii="Arial" w:cs="Arial" w:eastAsia="Arial" w:hAnsi="Arial"/>
          <w:sz w:val="18"/>
          <w:szCs w:val="18"/>
          <w:color w:val="auto"/>
        </w:rPr>
      </w:pPr>
    </w:p>
    <w:p>
      <w:pPr>
        <w:ind w:left="1940" w:hanging="636"/>
        <w:spacing w:after="0"/>
        <w:tabs>
          <w:tab w:leader="none" w:pos="1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Encore Capital Group, Inc., a Delaware corporation, or any successor.</w:t>
      </w:r>
    </w:p>
    <w:p>
      <w:pPr>
        <w:spacing w:after="0" w:line="117" w:lineRule="exact"/>
        <w:rPr>
          <w:rFonts w:ascii="Arial" w:cs="Arial" w:eastAsia="Arial" w:hAnsi="Arial"/>
          <w:sz w:val="18"/>
          <w:szCs w:val="18"/>
          <w:color w:val="auto"/>
        </w:rPr>
      </w:pPr>
    </w:p>
    <w:p>
      <w:pPr>
        <w:ind w:firstLine="1304"/>
        <w:spacing w:after="0" w:line="287" w:lineRule="auto"/>
        <w:tabs>
          <w:tab w:leader="none" w:pos="1942"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means any person or entity, including any adviser, engaged by the Company or any of its Subsidiaries to render services to such entity that qualifies as a consultant or advisor under the applicable rules of Form S-8 Registration Statement.</w:t>
      </w:r>
    </w:p>
    <w:p>
      <w:pPr>
        <w:spacing w:after="0" w:line="44" w:lineRule="exact"/>
        <w:rPr>
          <w:rFonts w:ascii="Arial" w:cs="Arial" w:eastAsia="Arial" w:hAnsi="Arial"/>
          <w:sz w:val="18"/>
          <w:szCs w:val="18"/>
          <w:color w:val="auto"/>
        </w:rPr>
      </w:pPr>
    </w:p>
    <w:p>
      <w:pPr>
        <w:jc w:val="both"/>
        <w:ind w:firstLine="1304"/>
        <w:spacing w:after="0" w:line="268" w:lineRule="auto"/>
        <w:tabs>
          <w:tab w:leader="none" w:pos="1944"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Designated Beneficiary</w:t>
      </w:r>
      <w:r>
        <w:rPr>
          <w:rFonts w:ascii="Arial" w:cs="Arial" w:eastAsia="Arial" w:hAnsi="Arial"/>
          <w:sz w:val="18"/>
          <w:szCs w:val="18"/>
          <w:color w:val="auto"/>
        </w:rPr>
        <w:t>” means the beneficiary or beneficiaries the Participant designates, in a manner the Administrator determines, to receive amounts due or exercise the Participant’s rights if the Participant dies or becomes incapacitated. Without a Participant’s effective designation, “Designated Beneficiary” will mean the Participant’s estate.</w:t>
      </w:r>
    </w:p>
    <w:p>
      <w:pPr>
        <w:spacing w:after="0" w:line="62" w:lineRule="exact"/>
        <w:rPr>
          <w:rFonts w:ascii="Arial" w:cs="Arial" w:eastAsia="Arial" w:hAnsi="Arial"/>
          <w:sz w:val="18"/>
          <w:szCs w:val="18"/>
          <w:color w:val="auto"/>
        </w:rPr>
      </w:pPr>
    </w:p>
    <w:p>
      <w:pPr>
        <w:ind w:left="1940" w:hanging="636"/>
        <w:spacing w:after="0"/>
        <w:tabs>
          <w:tab w:leader="none" w:pos="1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Board member.</w:t>
      </w:r>
    </w:p>
    <w:p>
      <w:pPr>
        <w:spacing w:after="0" w:line="117" w:lineRule="exact"/>
        <w:rPr>
          <w:rFonts w:ascii="Arial" w:cs="Arial" w:eastAsia="Arial" w:hAnsi="Arial"/>
          <w:sz w:val="18"/>
          <w:szCs w:val="18"/>
          <w:color w:val="auto"/>
        </w:rPr>
      </w:pPr>
    </w:p>
    <w:p>
      <w:pPr>
        <w:ind w:firstLine="1304"/>
        <w:spacing w:after="0" w:line="287" w:lineRule="auto"/>
        <w:tabs>
          <w:tab w:leader="none" w:pos="1934"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Dividend Equivalents</w:t>
      </w:r>
      <w:r>
        <w:rPr>
          <w:rFonts w:ascii="Arial" w:cs="Arial" w:eastAsia="Arial" w:hAnsi="Arial"/>
          <w:sz w:val="18"/>
          <w:szCs w:val="18"/>
          <w:color w:val="auto"/>
        </w:rPr>
        <w:t>” means a right granted to a Participant under Section 7(b) to receive the equivalent value (in cash or Shares) of dividends paid on Shares.</w:t>
      </w:r>
    </w:p>
    <w:p>
      <w:pPr>
        <w:spacing w:after="0" w:line="44" w:lineRule="exact"/>
        <w:rPr>
          <w:rFonts w:ascii="Arial" w:cs="Arial" w:eastAsia="Arial" w:hAnsi="Arial"/>
          <w:sz w:val="18"/>
          <w:szCs w:val="18"/>
          <w:color w:val="auto"/>
        </w:rPr>
      </w:pPr>
    </w:p>
    <w:p>
      <w:pPr>
        <w:ind w:firstLine="1304"/>
        <w:spacing w:after="0" w:line="287" w:lineRule="auto"/>
        <w:tabs>
          <w:tab w:leader="none" w:pos="1934"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DRO</w:t>
      </w:r>
      <w:r>
        <w:rPr>
          <w:rFonts w:ascii="Arial" w:cs="Arial" w:eastAsia="Arial" w:hAnsi="Arial"/>
          <w:sz w:val="18"/>
          <w:szCs w:val="18"/>
          <w:color w:val="auto"/>
        </w:rPr>
        <w:t>” means a domestic relations order as defined by the Code or Title I of the Employee Retirement Income Security Act of 1974, as amended, or the rules thereunder.</w:t>
      </w:r>
    </w:p>
    <w:p>
      <w:pPr>
        <w:spacing w:after="0" w:line="44" w:lineRule="exact"/>
        <w:rPr>
          <w:rFonts w:ascii="Arial" w:cs="Arial" w:eastAsia="Arial" w:hAnsi="Arial"/>
          <w:sz w:val="18"/>
          <w:szCs w:val="18"/>
          <w:color w:val="auto"/>
        </w:rPr>
      </w:pPr>
    </w:p>
    <w:p>
      <w:pPr>
        <w:ind w:left="1940" w:hanging="636"/>
        <w:spacing w:after="0"/>
        <w:tabs>
          <w:tab w:leader="none" w:pos="1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employee of the Company or its Subsidiaries.</w:t>
      </w:r>
    </w:p>
    <w:p>
      <w:pPr>
        <w:spacing w:after="0" w:line="117" w:lineRule="exact"/>
        <w:rPr>
          <w:rFonts w:ascii="Arial" w:cs="Arial" w:eastAsia="Arial" w:hAnsi="Arial"/>
          <w:sz w:val="18"/>
          <w:szCs w:val="18"/>
          <w:color w:val="auto"/>
        </w:rPr>
      </w:pPr>
    </w:p>
    <w:p>
      <w:pPr>
        <w:jc w:val="both"/>
        <w:ind w:firstLine="1304"/>
        <w:spacing w:after="0" w:line="262" w:lineRule="auto"/>
        <w:tabs>
          <w:tab w:leader="none" w:pos="19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Equity Restructuring</w:t>
      </w:r>
      <w:r>
        <w:rPr>
          <w:rFonts w:ascii="Arial" w:cs="Arial" w:eastAsia="Arial" w:hAnsi="Arial"/>
          <w:sz w:val="18"/>
          <w:szCs w:val="18"/>
          <w:color w:val="auto"/>
        </w:rPr>
        <w:t>” means, as the Administrator determines, a nonreciprocal transaction between the Company and its stockholders, such as a stock dividend, stock split, spin-off or recapitalization through a large, nonrecurring cash dividend, or other large, nonrecurring cash dividend, that affects the Shares (or other Company securities) or the share price of Common Stock (or other Company securities) and causing a change in the per share value of the Common Stock underlying outstanding Awards.</w:t>
      </w:r>
    </w:p>
    <w:p>
      <w:pPr>
        <w:spacing w:after="0" w:line="68" w:lineRule="exact"/>
        <w:rPr>
          <w:rFonts w:ascii="Arial" w:cs="Arial" w:eastAsia="Arial" w:hAnsi="Arial"/>
          <w:sz w:val="18"/>
          <w:szCs w:val="18"/>
          <w:color w:val="auto"/>
        </w:rPr>
      </w:pPr>
    </w:p>
    <w:p>
      <w:pPr>
        <w:ind w:left="1940" w:hanging="636"/>
        <w:spacing w:after="0"/>
        <w:tabs>
          <w:tab w:leader="none" w:pos="1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w:t>
      </w:r>
    </w:p>
    <w:p>
      <w:pPr>
        <w:spacing w:after="0" w:line="117" w:lineRule="exact"/>
        <w:rPr>
          <w:rFonts w:ascii="Arial" w:cs="Arial" w:eastAsia="Arial" w:hAnsi="Arial"/>
          <w:sz w:val="18"/>
          <w:szCs w:val="18"/>
          <w:color w:val="auto"/>
        </w:rPr>
      </w:pPr>
    </w:p>
    <w:p>
      <w:pPr>
        <w:jc w:val="both"/>
        <w:ind w:firstLine="1304"/>
        <w:spacing w:after="0" w:line="255" w:lineRule="auto"/>
        <w:tabs>
          <w:tab w:leader="none" w:pos="1938"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xml:space="preserve">” means, as of any date, the value of Common Stock determined as follows: (i) if the Common Stock is listed on any established stock exchange, the closing sales price for such Common Stock as quoted on such exchange for such date, or if no sale occurred on such date, the first market trading day immediately before such date during which a sale occurred,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another source the Administrator deems reliable; (ii) if the Common Stock is not traded on a stock exchange but is quoted on a national market or other quotation system, the closing sales price on such date, or if no sales occurred on such date, then on the date immediately before such date on which sales prices are reported,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another source the Administrator deems reliable; or (iii) without an established market for the Common Stock, the Administrator will determine the Fair Market Value in its discretion.</w:t>
      </w:r>
    </w:p>
    <w:p>
      <w:pPr>
        <w:spacing w:after="0" w:line="76" w:lineRule="exact"/>
        <w:rPr>
          <w:rFonts w:ascii="Arial" w:cs="Arial" w:eastAsia="Arial" w:hAnsi="Arial"/>
          <w:sz w:val="18"/>
          <w:szCs w:val="18"/>
          <w:color w:val="auto"/>
        </w:rPr>
      </w:pPr>
    </w:p>
    <w:p>
      <w:pPr>
        <w:jc w:val="both"/>
        <w:ind w:firstLine="1304"/>
        <w:spacing w:after="0" w:line="268" w:lineRule="auto"/>
        <w:tabs>
          <w:tab w:leader="none" w:pos="1934"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Greater Than 10% Stockholder</w:t>
      </w:r>
      <w:r>
        <w:rPr>
          <w:rFonts w:ascii="Arial" w:cs="Arial" w:eastAsia="Arial" w:hAnsi="Arial"/>
          <w:sz w:val="18"/>
          <w:szCs w:val="18"/>
          <w:color w:val="auto"/>
        </w:rPr>
        <w:t>” means an individual then owning (within the meaning of Section 424(d) of the Code) more than 10% of the total combined voting power of all classes of stock of the Company or its parent or subsidiary corporation, as defined in Section 424(e) and (f) of the Code, respectively.</w:t>
      </w:r>
    </w:p>
    <w:p>
      <w:pPr>
        <w:spacing w:after="0" w:line="62" w:lineRule="exact"/>
        <w:rPr>
          <w:rFonts w:ascii="Arial" w:cs="Arial" w:eastAsia="Arial" w:hAnsi="Arial"/>
          <w:sz w:val="18"/>
          <w:szCs w:val="18"/>
          <w:color w:val="auto"/>
        </w:rPr>
      </w:pPr>
    </w:p>
    <w:p>
      <w:pPr>
        <w:ind w:firstLine="1304"/>
        <w:spacing w:after="0" w:line="287" w:lineRule="auto"/>
        <w:tabs>
          <w:tab w:leader="none" w:pos="1938"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 Option intended to qualify as an “incentive stock option” as defined in Section 422 of the Code.</w:t>
      </w:r>
    </w:p>
    <w:p>
      <w:pPr>
        <w:spacing w:after="0" w:line="44" w:lineRule="exact"/>
        <w:rPr>
          <w:rFonts w:ascii="Arial" w:cs="Arial" w:eastAsia="Arial" w:hAnsi="Arial"/>
          <w:sz w:val="18"/>
          <w:szCs w:val="18"/>
          <w:color w:val="auto"/>
        </w:rPr>
      </w:pPr>
    </w:p>
    <w:p>
      <w:pPr>
        <w:ind w:left="1940" w:hanging="636"/>
        <w:spacing w:after="0"/>
        <w:tabs>
          <w:tab w:leader="none" w:pos="1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Non-Qualified Stock Option</w:t>
      </w:r>
      <w:r>
        <w:rPr>
          <w:rFonts w:ascii="Arial" w:cs="Arial" w:eastAsia="Arial" w:hAnsi="Arial"/>
          <w:sz w:val="18"/>
          <w:szCs w:val="18"/>
          <w:color w:val="auto"/>
        </w:rPr>
        <w:t>” means an Option, or portion thereof, not intended to qualify, or not qualifying, as an</w:t>
      </w:r>
    </w:p>
    <w:p>
      <w:pPr>
        <w:spacing w:after="0" w:line="2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Incentive Stock Option.</w:t>
      </w:r>
    </w:p>
    <w:p>
      <w:pPr>
        <w:spacing w:after="0" w:line="99" w:lineRule="exact"/>
        <w:rPr>
          <w:rFonts w:ascii="Arial" w:cs="Arial" w:eastAsia="Arial" w:hAnsi="Arial"/>
          <w:sz w:val="18"/>
          <w:szCs w:val="18"/>
          <w:color w:val="auto"/>
        </w:rPr>
      </w:pPr>
    </w:p>
    <w:p>
      <w:pPr>
        <w:ind w:left="1940" w:hanging="636"/>
        <w:spacing w:after="0"/>
        <w:tabs>
          <w:tab w:leader="none" w:pos="1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means an option to purchase Shares.</w:t>
      </w:r>
    </w:p>
    <w:p>
      <w:pPr>
        <w:spacing w:after="0" w:line="117" w:lineRule="exact"/>
        <w:rPr>
          <w:rFonts w:ascii="Arial" w:cs="Arial" w:eastAsia="Arial" w:hAnsi="Arial"/>
          <w:sz w:val="18"/>
          <w:szCs w:val="18"/>
          <w:color w:val="auto"/>
        </w:rPr>
      </w:pPr>
    </w:p>
    <w:p>
      <w:pPr>
        <w:ind w:firstLine="1304"/>
        <w:spacing w:after="0" w:line="287" w:lineRule="auto"/>
        <w:tabs>
          <w:tab w:leader="none" w:pos="1938"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Stock or Cash Based Awards</w:t>
      </w:r>
      <w:r>
        <w:rPr>
          <w:rFonts w:ascii="Arial" w:cs="Arial" w:eastAsia="Arial" w:hAnsi="Arial"/>
          <w:sz w:val="18"/>
          <w:szCs w:val="18"/>
          <w:color w:val="auto"/>
        </w:rPr>
        <w:t>” means cash awards, awards of Shares, and other awards valued wholly or partially by referring to, or are otherwise denominated in, based on or linked to, Shares or other property.</w:t>
      </w:r>
    </w:p>
    <w:p>
      <w:pPr>
        <w:spacing w:after="0" w:line="44" w:lineRule="exact"/>
        <w:rPr>
          <w:rFonts w:ascii="Arial" w:cs="Arial" w:eastAsia="Arial" w:hAnsi="Arial"/>
          <w:sz w:val="18"/>
          <w:szCs w:val="18"/>
          <w:color w:val="auto"/>
        </w:rPr>
      </w:pPr>
    </w:p>
    <w:p>
      <w:pPr>
        <w:jc w:val="both"/>
        <w:ind w:firstLine="1304"/>
        <w:spacing w:after="0" w:line="268" w:lineRule="auto"/>
        <w:tabs>
          <w:tab w:leader="none" w:pos="1938"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Overall Share Limit</w:t>
      </w:r>
      <w:r>
        <w:rPr>
          <w:rFonts w:ascii="Arial" w:cs="Arial" w:eastAsia="Arial" w:hAnsi="Arial"/>
          <w:sz w:val="18"/>
          <w:szCs w:val="18"/>
          <w:color w:val="auto"/>
        </w:rPr>
        <w:t>” means the total number of shares available for grant under the Plan, which equals 6,363,571 Shares plus (ii) the number of Shares that are subject to Prior Plan Awards granted prior to June 15, 2017 that again become available for issuance pursuant to Section 4.</w:t>
      </w:r>
    </w:p>
    <w:p>
      <w:pPr>
        <w:spacing w:after="0" w:line="63" w:lineRule="exact"/>
        <w:rPr>
          <w:sz w:val="20"/>
          <w:szCs w:val="20"/>
          <w:color w:val="auto"/>
        </w:rPr>
      </w:pPr>
    </w:p>
    <w:p>
      <w:pPr>
        <w:ind w:left="1940" w:hanging="636"/>
        <w:spacing w:after="0"/>
        <w:tabs>
          <w:tab w:leader="none" w:pos="19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 Service Provider who has been granted an Award.</w:t>
      </w:r>
    </w:p>
    <w:p>
      <w:pPr>
        <w:spacing w:after="0" w:line="117"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(ab) “</w:t>
      </w:r>
      <w:r>
        <w:rPr>
          <w:rFonts w:ascii="Arial" w:cs="Arial" w:eastAsia="Arial" w:hAnsi="Arial"/>
          <w:sz w:val="18"/>
          <w:szCs w:val="18"/>
          <w:b w:val="1"/>
          <w:bCs w:val="1"/>
          <w:i w:val="1"/>
          <w:iCs w:val="1"/>
          <w:color w:val="auto"/>
        </w:rPr>
        <w:t>Performance Criteria</w:t>
      </w:r>
      <w:r>
        <w:rPr>
          <w:rFonts w:ascii="Arial" w:cs="Arial" w:eastAsia="Arial" w:hAnsi="Arial"/>
          <w:sz w:val="18"/>
          <w:szCs w:val="18"/>
          <w:color w:val="auto"/>
        </w:rPr>
        <w:t>” means the criteria (and adjustments) that the Administrator may select for an Award to establish performance goals for a performance period, which may include, but is not limited to, the following: (A) the attainment by a Share of a specified Fair Market Value for a specified period of time (including any appreciation in and/or maintenance of the price per Share or any other publicly traded securities of the Company); (B) book value per Share; (C) earnings per Share; (D) return on assets; (E) return on equity; (F)</w:t>
      </w:r>
    </w:p>
    <w:p>
      <w:pPr>
        <w:sectPr>
          <w:pgSz w:w="11900" w:h="16838" w:orient="portrait"/>
          <w:cols w:equalWidth="0" w:num="1">
            <w:col w:w="11240"/>
          </w:cols>
          <w:pgMar w:left="320" w:top="998" w:right="339" w:bottom="1440" w:gutter="0" w:footer="0" w:header="0"/>
        </w:sectPr>
      </w:pPr>
    </w:p>
    <w:bookmarkStart w:id="19" w:name="page20"/>
    <w:bookmarkEnd w:id="19"/>
    <w:p>
      <w:pPr>
        <w:jc w:val="both"/>
        <w:spacing w:after="0" w:line="252" w:lineRule="auto"/>
        <w:rPr>
          <w:sz w:val="20"/>
          <w:szCs w:val="20"/>
          <w:color w:val="auto"/>
        </w:rPr>
      </w:pPr>
      <w:r>
        <w:rPr>
          <w:rFonts w:ascii="Arial" w:cs="Arial" w:eastAsia="Arial" w:hAnsi="Arial"/>
          <w:sz w:val="18"/>
          <w:szCs w:val="18"/>
          <w:color w:val="auto"/>
        </w:rPr>
        <w:t>return on investments; (G) return on invested capital or internal rate of return; (H) total stockholder return; (I) earnings or net income of the Company before or after taxes and/or interest; (J) pretax income before allocation of corporate overhead and bonus; (K) budget; (L) earnings before interest, taxes, depreciation and amortization; (M) revenues; (N) market share; (O) cash flow or cost reduction; (P) division, group or corporate financial goals; (Q) interest expense after taxes; (R) economic value created; (S) improvements in capital structure; (T) gross margin; (U) operating margin; (V) net cash; (W) strategic business criteria, consisting of one or more objectives based on meeting specified market penetration, geographic business expansion goals, cost targets, customer satisfaction, reductions in errors and omissions, reductions in lost business, management of employment practices and employee benefits, supervision of litigation and information technology, quality and quality audit scores, efficiency, working capital, goals relating to acquisitions or divestitures, land management, sales or closings, inventory control, inventory, land or lot improvement or reduction, implementation or completion of critical projects, economic value; (X) return on sales; (Y) adjusted earnings or loss per Share; (Z) employee satisfaction; (AA) certain financial ratios (including those measuring liquidity, activity, profitability or leverage); (BB) debt levels or reductions; (CC) financing and other capital raising transactions; (DD) year-end cash;</w:t>
      </w:r>
    </w:p>
    <w:p>
      <w:pPr>
        <w:spacing w:after="0" w:line="3" w:lineRule="exact"/>
        <w:rPr>
          <w:sz w:val="20"/>
          <w:szCs w:val="20"/>
          <w:color w:val="auto"/>
        </w:rPr>
      </w:pPr>
    </w:p>
    <w:p>
      <w:pPr>
        <w:jc w:val="both"/>
        <w:ind w:firstLine="8"/>
        <w:spacing w:after="0" w:line="254" w:lineRule="auto"/>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investment sourcing activity; (FF) marketing initiatives; (GG) dividends; (HH) profit margin; (II) gross profits; (JJ) comparisons with various stock market indices; (KK) increase in number of customers; (LL) loan origination; (MM) bringing assets to market; (NN) resolution of administrative or judicial proceedings or disputes; (OO) collections; (PP) cost to collect; or (QQ) any combination of the foregoing, any of which may be measured either in absolute terms or as compared to any incremental increase or decrease or as compared to results of a peer group or to market performance indicators.</w:t>
      </w:r>
    </w:p>
    <w:p>
      <w:pPr>
        <w:spacing w:after="0" w:line="74" w:lineRule="exact"/>
        <w:rPr>
          <w:rFonts w:ascii="Arial" w:cs="Arial" w:eastAsia="Arial" w:hAnsi="Arial"/>
          <w:sz w:val="18"/>
          <w:szCs w:val="18"/>
          <w:color w:val="auto"/>
        </w:rPr>
      </w:pPr>
    </w:p>
    <w:p>
      <w:pPr>
        <w:jc w:val="both"/>
        <w:ind w:left="660" w:firstLine="1292"/>
        <w:spacing w:after="0" w:line="253" w:lineRule="auto"/>
        <w:tabs>
          <w:tab w:leader="none" w:pos="2602"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Administrator may, in its sole discretion, provide that one or more objectively determinable adjustments shall be made to one or more of any performance goals. Such adjustments may include one or more of the following: (A) items related to a change in accounting principle; (B) items relating to financing activities; (C) expenses for restructuring or productivity initiatives; (D) other non-operating items; (E) items related to acquisitions; (F) items attributable to the business operations of any entity acquired by the Company during a performance period; (G) items related to the disposal of a business or segment of a business; (H) items related to discontinued operations that do not qualify as a segment of a business under Applicable Accounting Standards; (I) items attributable to any stock dividend, stock split, combination or exchange of stock occurring during a performance period; (J) any other items of significant income or expense which are determined to be appropriate adjustments; (K) items relating to unusual or infrequently occurring corporate transactions, events or developments; (L) items related to amortization of acquired intangible assets; (M) items that are outside the scope of the Company’s core, on-going business activities; (N) items related to acquired in-process research and development; (O) items relating to changes in tax laws; (P) items relating to major licensing or partnership arrangements; (Q) items relating to asset impairment charges or other non-cash charges; (R) items relating to gains or losses for litigation, arbitration and contractual settlements; (S) items attributable to expenses incurred in connection with a reduction in force or early retirement initiative; or (T) items relating to any other unusual or nonrecurring events or changes in Applicable Law, accounting principles or business conditions</w:t>
      </w:r>
    </w:p>
    <w:p>
      <w:pPr>
        <w:sectPr>
          <w:pgSz w:w="11900" w:h="16838" w:orient="portrait"/>
          <w:cols w:equalWidth="0" w:num="1">
            <w:col w:w="11240"/>
          </w:cols>
          <w:pgMar w:left="320" w:top="998" w:right="339" w:bottom="1440" w:gutter="0" w:footer="0" w:header="0"/>
        </w:sectPr>
      </w:pPr>
    </w:p>
    <w:p>
      <w:pPr>
        <w:spacing w:after="0" w:line="7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(ac)</w:t>
      </w:r>
    </w:p>
    <w:p>
      <w:pPr>
        <w:spacing w:after="0" w:line="11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(ad)</w:t>
      </w:r>
    </w:p>
    <w:p>
      <w:pPr>
        <w:spacing w:after="0" w:line="11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(ae)</w:t>
      </w:r>
    </w:p>
    <w:p>
      <w:pPr>
        <w:spacing w:after="0" w:line="11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and other restrictions.</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Amended and Restated 2017 Incentive Award Plan, as it may be amended from time to time.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Prior Plan</w:t>
      </w:r>
      <w:r>
        <w:rPr>
          <w:rFonts w:ascii="Arial" w:cs="Arial" w:eastAsia="Arial" w:hAnsi="Arial"/>
          <w:sz w:val="18"/>
          <w:szCs w:val="18"/>
          <w:color w:val="auto"/>
        </w:rPr>
        <w:t>” means the Encore Capital Group, Inc. 2013 Incentive Compensation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Prior Plan Award</w:t>
      </w:r>
      <w:r>
        <w:rPr>
          <w:rFonts w:ascii="Arial" w:cs="Arial" w:eastAsia="Arial" w:hAnsi="Arial"/>
          <w:sz w:val="18"/>
          <w:szCs w:val="18"/>
          <w:color w:val="auto"/>
        </w:rPr>
        <w:t>” means an award outstanding under the Prior Plan as of June 15, 2017.</w:t>
      </w:r>
    </w:p>
    <w:p>
      <w:pPr>
        <w:spacing w:after="0" w:line="117" w:lineRule="exact"/>
        <w:rPr>
          <w:sz w:val="20"/>
          <w:szCs w:val="20"/>
          <w:color w:val="auto"/>
        </w:rPr>
      </w:pPr>
    </w:p>
    <w:p>
      <w:pPr>
        <w:ind w:lef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w:t>
      </w:r>
      <w:r>
        <w:rPr>
          <w:rFonts w:ascii="Arial" w:cs="Arial" w:eastAsia="Arial" w:hAnsi="Arial"/>
          <w:sz w:val="18"/>
          <w:szCs w:val="18"/>
          <w:color w:val="auto"/>
        </w:rPr>
        <w:t>” means Shares awarded to a Participant under Section 6 subject to certain vesting conditions</w:t>
      </w:r>
    </w:p>
    <w:p>
      <w:pPr>
        <w:spacing w:after="0" w:line="333" w:lineRule="exact"/>
        <w:rPr>
          <w:sz w:val="20"/>
          <w:szCs w:val="20"/>
          <w:color w:val="auto"/>
        </w:rPr>
      </w:pPr>
    </w:p>
    <w:p>
      <w:pPr>
        <w:sectPr>
          <w:pgSz w:w="11900" w:h="16838" w:orient="portrait"/>
          <w:cols w:equalWidth="0" w:num="2">
            <w:col w:w="1740" w:space="200"/>
            <w:col w:w="9300"/>
          </w:cols>
          <w:pgMar w:left="320" w:top="998" w:right="339" w:bottom="1440" w:gutter="0" w:footer="0" w:header="0"/>
          <w:type w:val="continuous"/>
        </w:sectPr>
      </w:pPr>
    </w:p>
    <w:p>
      <w:pPr>
        <w:ind w:left="1300"/>
        <w:spacing w:after="0"/>
        <w:tabs>
          <w:tab w:leader="none" w:pos="1920" w:val="left"/>
        </w:tabs>
        <w:rPr>
          <w:sz w:val="20"/>
          <w:szCs w:val="20"/>
          <w:color w:val="auto"/>
        </w:rPr>
      </w:pPr>
      <w:r>
        <w:rPr>
          <w:rFonts w:ascii="Arial" w:cs="Arial" w:eastAsia="Arial" w:hAnsi="Arial"/>
          <w:sz w:val="18"/>
          <w:szCs w:val="18"/>
          <w:color w:val="auto"/>
        </w:rPr>
        <w:t>(ag)</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Unit</w:t>
      </w:r>
      <w:r>
        <w:rPr>
          <w:rFonts w:ascii="Arial" w:cs="Arial" w:eastAsia="Arial" w:hAnsi="Arial"/>
          <w:sz w:val="18"/>
          <w:szCs w:val="18"/>
          <w:color w:val="auto"/>
        </w:rPr>
        <w:t>” means an unfunded, unsecured right to receive, on the applicable settlement date, one</w:t>
      </w:r>
    </w:p>
    <w:p>
      <w:pPr>
        <w:sectPr>
          <w:pgSz w:w="11900" w:h="16838" w:orient="portrait"/>
          <w:cols w:equalWidth="0" w:num="1">
            <w:col w:w="11240"/>
          </w:cols>
          <w:pgMar w:left="320" w:top="998" w:right="339" w:bottom="1440" w:gutter="0" w:footer="0" w:header="0"/>
          <w:type w:val="continuous"/>
        </w:sectPr>
      </w:pPr>
    </w:p>
    <w:p>
      <w:pPr>
        <w:spacing w:after="0" w:line="4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Share or an amount in cash or other consideration determined by the Administrator to be of equal value as of such payment date, subject to certain vesting conditions and other restrictions.</w:t>
      </w:r>
    </w:p>
    <w:p>
      <w:pPr>
        <w:sectPr>
          <w:pgSz w:w="11900" w:h="16838" w:orient="portrait"/>
          <w:cols w:equalWidth="0" w:num="1">
            <w:col w:w="11240"/>
          </w:cols>
          <w:pgMar w:left="320" w:top="998" w:right="339" w:bottom="1440" w:gutter="0" w:footer="0" w:header="0"/>
          <w:type w:val="continuous"/>
        </w:sectPr>
      </w:pPr>
    </w:p>
    <w:p>
      <w:pPr>
        <w:spacing w:after="0" w:line="76"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(ah)</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Rule 16b-3</w:t>
      </w:r>
      <w:r>
        <w:rPr>
          <w:rFonts w:ascii="Arial" w:cs="Arial" w:eastAsia="Arial" w:hAnsi="Arial"/>
          <w:sz w:val="17"/>
          <w:szCs w:val="17"/>
          <w:color w:val="auto"/>
        </w:rPr>
        <w:t>” means Rule 16b-3 promulgated under the Exchange Act.</w:t>
      </w:r>
    </w:p>
    <w:p>
      <w:pPr>
        <w:spacing w:after="0" w:line="129" w:lineRule="exact"/>
        <w:rPr>
          <w:sz w:val="20"/>
          <w:szCs w:val="20"/>
          <w:color w:val="auto"/>
        </w:rPr>
      </w:pPr>
    </w:p>
    <w:p>
      <w:pPr>
        <w:sectPr>
          <w:pgSz w:w="11900" w:h="16838" w:orient="portrait"/>
          <w:cols w:equalWidth="0" w:num="2">
            <w:col w:w="1620" w:space="320"/>
            <w:col w:w="9300"/>
          </w:cols>
          <w:pgMar w:left="320" w:top="998" w:right="339" w:bottom="1440" w:gutter="0" w:footer="0" w:header="0"/>
          <w:type w:val="continuous"/>
        </w:sectPr>
      </w:pPr>
    </w:p>
    <w:p>
      <w:pPr>
        <w:ind w:firstLine="1296"/>
        <w:spacing w:after="0" w:line="287" w:lineRule="auto"/>
        <w:rPr>
          <w:sz w:val="20"/>
          <w:szCs w:val="20"/>
          <w:color w:val="auto"/>
        </w:rPr>
      </w:pPr>
      <w:r>
        <w:rPr>
          <w:rFonts w:ascii="Arial" w:cs="Arial" w:eastAsia="Arial" w:hAnsi="Arial"/>
          <w:sz w:val="18"/>
          <w:szCs w:val="18"/>
          <w:color w:val="auto"/>
        </w:rPr>
        <w:t>(ai) “</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means Section 409A of the Code and all regulations, guidance, compliance programs and other interpretative authority thereunder.</w:t>
      </w:r>
    </w:p>
    <w:p>
      <w:pPr>
        <w:sectPr>
          <w:pgSz w:w="11900" w:h="16838" w:orient="portrait"/>
          <w:cols w:equalWidth="0" w:num="1">
            <w:col w:w="11240"/>
          </w:cols>
          <w:pgMar w:left="320" w:top="998" w:right="339" w:bottom="1440" w:gutter="0" w:footer="0" w:header="0"/>
          <w:type w:val="continuous"/>
        </w:sectPr>
      </w:pPr>
    </w:p>
    <w:p>
      <w:pPr>
        <w:spacing w:after="0" w:line="4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(aj)</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117" w:lineRule="exact"/>
        <w:rPr>
          <w:sz w:val="20"/>
          <w:szCs w:val="20"/>
          <w:color w:val="auto"/>
        </w:rPr>
      </w:pPr>
    </w:p>
    <w:p>
      <w:pPr>
        <w:sectPr>
          <w:pgSz w:w="11900" w:h="16838" w:orient="portrait"/>
          <w:cols w:equalWidth="0" w:num="2">
            <w:col w:w="1560" w:space="380"/>
            <w:col w:w="9300"/>
          </w:cols>
          <w:pgMar w:left="320" w:top="998" w:right="339" w:bottom="1440" w:gutter="0" w:footer="0" w:header="0"/>
          <w:type w:val="continuous"/>
        </w:sectPr>
      </w:pPr>
    </w:p>
    <w:p>
      <w:pPr>
        <w:ind w:left="1300"/>
        <w:spacing w:after="0"/>
        <w:rPr>
          <w:sz w:val="20"/>
          <w:szCs w:val="20"/>
          <w:color w:val="auto"/>
        </w:rPr>
      </w:pPr>
      <w:r>
        <w:rPr>
          <w:rFonts w:ascii="Arial" w:cs="Arial" w:eastAsia="Arial" w:hAnsi="Arial"/>
          <w:sz w:val="18"/>
          <w:szCs w:val="18"/>
          <w:color w:val="auto"/>
        </w:rPr>
        <w:t>(ak)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Service Provider</w:t>
      </w:r>
      <w:r>
        <w:rPr>
          <w:rFonts w:ascii="Arial" w:cs="Arial" w:eastAsia="Arial" w:hAnsi="Arial"/>
          <w:sz w:val="17"/>
          <w:szCs w:val="17"/>
          <w:color w:val="auto"/>
        </w:rPr>
        <w:t>” means an Employee, Consultant or Director.</w:t>
      </w:r>
    </w:p>
    <w:p>
      <w:pPr>
        <w:spacing w:after="0" w:line="128" w:lineRule="exact"/>
        <w:rPr>
          <w:sz w:val="20"/>
          <w:szCs w:val="20"/>
          <w:color w:val="auto"/>
        </w:rPr>
      </w:pPr>
    </w:p>
    <w:p>
      <w:pPr>
        <w:sectPr>
          <w:pgSz w:w="11900" w:h="16838" w:orient="portrait"/>
          <w:cols w:equalWidth="0" w:num="2">
            <w:col w:w="1620" w:space="340"/>
            <w:col w:w="9280"/>
          </w:cols>
          <w:pgMar w:left="320" w:top="998" w:right="339" w:bottom="1440" w:gutter="0" w:footer="0" w:header="0"/>
          <w:type w:val="continuous"/>
        </w:sectPr>
      </w:pPr>
    </w:p>
    <w:p>
      <w:pPr>
        <w:ind w:left="1300"/>
        <w:spacing w:after="0"/>
        <w:rPr>
          <w:sz w:val="20"/>
          <w:szCs w:val="20"/>
          <w:color w:val="auto"/>
        </w:rPr>
      </w:pPr>
      <w:r>
        <w:rPr>
          <w:rFonts w:ascii="Arial" w:cs="Arial" w:eastAsia="Arial" w:hAnsi="Arial"/>
          <w:sz w:val="18"/>
          <w:szCs w:val="18"/>
          <w:color w:val="auto"/>
        </w:rPr>
        <w: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means shares of Common Stock.</w:t>
      </w:r>
    </w:p>
    <w:p>
      <w:pPr>
        <w:spacing w:after="0" w:line="117" w:lineRule="exact"/>
        <w:rPr>
          <w:sz w:val="20"/>
          <w:szCs w:val="20"/>
          <w:color w:val="auto"/>
        </w:rPr>
      </w:pPr>
    </w:p>
    <w:p>
      <w:pPr>
        <w:sectPr>
          <w:pgSz w:w="11900" w:h="16838" w:orient="portrait"/>
          <w:cols w:equalWidth="0" w:num="2">
            <w:col w:w="1560" w:space="380"/>
            <w:col w:w="9300"/>
          </w:cols>
          <w:pgMar w:left="320" w:top="998" w:right="339" w:bottom="1440" w:gutter="0" w:footer="0" w:header="0"/>
          <w:type w:val="continuous"/>
        </w:sectPr>
      </w:pPr>
    </w:p>
    <w:p>
      <w:pPr>
        <w:ind w:left="1300"/>
        <w:spacing w:after="0"/>
        <w:rPr>
          <w:sz w:val="20"/>
          <w:szCs w:val="20"/>
          <w:color w:val="auto"/>
        </w:rPr>
      </w:pPr>
      <w:r>
        <w:rPr>
          <w:rFonts w:ascii="Arial" w:cs="Arial" w:eastAsia="Arial" w:hAnsi="Arial"/>
          <w:sz w:val="18"/>
          <w:szCs w:val="18"/>
          <w:color w:val="auto"/>
        </w:rPr>
        <w:t>(am)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color w:val="auto"/>
        </w:rPr>
        <w:t>” means a stock appreciation right granted under Section 5.</w:t>
      </w:r>
    </w:p>
    <w:p>
      <w:pPr>
        <w:sectPr>
          <w:pgSz w:w="11900" w:h="16838" w:orient="portrait"/>
          <w:cols w:equalWidth="0" w:num="2">
            <w:col w:w="1680" w:space="260"/>
            <w:col w:w="9300"/>
          </w:cols>
          <w:pgMar w:left="320" w:top="998" w:right="339" w:bottom="1440" w:gutter="0" w:footer="0" w:header="0"/>
          <w:type w:val="continuous"/>
        </w:sectPr>
      </w:pPr>
    </w:p>
    <w:bookmarkStart w:id="20" w:name="page21"/>
    <w:bookmarkEnd w:id="20"/>
    <w:p>
      <w:pPr>
        <w:jc w:val="both"/>
        <w:ind w:firstLine="1296"/>
        <w:spacing w:after="0" w:line="262" w:lineRule="auto"/>
        <w:rPr>
          <w:sz w:val="20"/>
          <w:szCs w:val="20"/>
          <w:color w:val="auto"/>
        </w:rPr>
      </w:pPr>
      <w:r>
        <w:rPr>
          <w:rFonts w:ascii="Arial" w:cs="Arial" w:eastAsia="Arial" w:hAnsi="Arial"/>
          <w:sz w:val="18"/>
          <w:szCs w:val="18"/>
          <w:color w:val="auto"/>
        </w:rPr>
        <w:t>(an) “</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50% of the total combined voting power of all classes of securities or interests in one of the other entities in such chain.</w:t>
      </w:r>
    </w:p>
    <w:p>
      <w:pPr>
        <w:spacing w:after="0" w:line="68"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8"/>
          <w:szCs w:val="18"/>
          <w:color w:val="auto"/>
        </w:rPr>
        <w:t xml:space="preserve">(ao)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Substitute Awards</w:t>
      </w:r>
      <w:r>
        <w:rPr>
          <w:rFonts w:ascii="Arial" w:cs="Arial" w:eastAsia="Arial" w:hAnsi="Arial"/>
          <w:sz w:val="18"/>
          <w:szCs w:val="18"/>
          <w:b w:val="1"/>
          <w:bCs w:val="1"/>
          <w:color w:val="auto"/>
        </w:rPr>
        <w:t>”</w:t>
      </w:r>
      <w:r>
        <w:rPr>
          <w:rFonts w:ascii="Arial" w:cs="Arial" w:eastAsia="Arial" w:hAnsi="Arial"/>
          <w:sz w:val="18"/>
          <w:szCs w:val="18"/>
          <w:color w:val="auto"/>
        </w:rPr>
        <w:t xml:space="preserve"> means Awards granted or Shares issued by the Company in assumption of, or in substitution or exchange for, awards previously granted, or the right or obligation to make future awards, in each case by a company acquired by the Company or any Subsidiary or with which the Company or any Subsidiary combines.</w:t>
      </w:r>
    </w:p>
    <w:p>
      <w:pPr>
        <w:spacing w:after="0" w:line="63"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(ap)</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Termination of Service</w:t>
      </w:r>
      <w:r>
        <w:rPr>
          <w:rFonts w:ascii="Arial" w:cs="Arial" w:eastAsia="Arial" w:hAnsi="Arial"/>
          <w:sz w:val="18"/>
          <w:szCs w:val="18"/>
          <w:color w:val="auto"/>
        </w:rPr>
        <w:t>” means the date the Participant ceases to be a Service Provider.</w:t>
      </w:r>
    </w:p>
    <w:p>
      <w:pPr>
        <w:spacing w:after="0" w:line="11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 * *</w:t>
      </w:r>
    </w:p>
    <w:sectPr>
      <w:pgSz w:w="11900" w:h="16838" w:orient="portrait"/>
      <w:cols w:equalWidth="0" w:num="1">
        <w:col w:w="11240"/>
      </w:cols>
      <w:pgMar w:left="320" w:top="9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1)"/>
      <w:numFmt w:val="lowerRoman"/>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2"/>
    </w:lvl>
  </w:abstractNum>
  <w:abstractNum w:abstractNumId="4">
    <w:nsid w:val="7FDCC233"/>
    <w:multiLevelType w:val="hybridMultilevel"/>
    <w:lvl w:ilvl="0">
      <w:lvlJc w:val="left"/>
      <w:lvlText w:val="%1."/>
      <w:numFmt w:val="decimal"/>
      <w:start w:val="3"/>
    </w:lvl>
    <w:lvl w:ilvl="1">
      <w:lvlJc w:val="left"/>
      <w:lvlText w:val="(%2)"/>
      <w:numFmt w:val="lowerLetter"/>
      <w:start w:val="1"/>
    </w:lvl>
  </w:abstractNum>
  <w:abstractNum w:abstractNumId="5">
    <w:nsid w:val="1BEFD79F"/>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6">
    <w:nsid w:val="41A7C4C9"/>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7">
    <w:nsid w:val="6B68079A"/>
    <w:multiLevelType w:val="hybridMultilevel"/>
    <w:lvl w:ilvl="0">
      <w:lvlJc w:val="left"/>
      <w:lvlText w:val="%1"/>
      <w:numFmt w:val="upperLetter"/>
      <w:start w:val="1"/>
    </w:lvl>
    <w:lvl w:ilvl="1">
      <w:lvlJc w:val="left"/>
      <w:lvlText w:val="(%2)"/>
      <w:numFmt w:val="lowerLetter"/>
      <w:start w:val="4"/>
    </w:lvl>
    <w:lvl w:ilvl="2">
      <w:lvlJc w:val="left"/>
      <w:lvlText w:val="(%3)"/>
      <w:numFmt w:val="lowerRoman"/>
      <w:start w:val="1"/>
    </w:lvl>
  </w:abstractNum>
  <w:abstractNum w:abstractNumId="8">
    <w:nsid w:val="4E6AFB66"/>
    <w:multiLevelType w:val="hybridMultilevel"/>
    <w:lvl w:ilvl="0">
      <w:lvlJc w:val="left"/>
      <w:lvlText w:val="(%1)"/>
      <w:numFmt w:val="upperLetter"/>
      <w:start w:val="1"/>
    </w:lvl>
    <w:lvl w:ilvl="1">
      <w:lvlJc w:val="left"/>
      <w:lvlText w:val="(%2)"/>
      <w:numFmt w:val="lowerLetter"/>
      <w:start w:val="5"/>
    </w:lvl>
    <w:lvl w:ilvl="2">
      <w:lvlJc w:val="left"/>
      <w:lvlText w:val="(%3)"/>
      <w:numFmt w:val="lowerRoman"/>
      <w:start w:val="2"/>
    </w:lvl>
  </w:abstractNum>
  <w:abstractNum w:abstractNumId="9">
    <w:nsid w:val="25E45D32"/>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10">
    <w:nsid w:val="519B500D"/>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1">
    <w:nsid w:val="431BD7B7"/>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2">
    <w:nsid w:val="3F2DBA31"/>
    <w:multiLevelType w:val="hybridMultilevel"/>
    <w:lvl w:ilvl="0">
      <w:lvlJc w:val="left"/>
      <w:lvlText w:val="%1"/>
      <w:numFmt w:val="lowerLetter"/>
      <w:start w:val="1"/>
    </w:lvl>
    <w:lvl w:ilvl="1">
      <w:lvlJc w:val="left"/>
      <w:lvlText w:val="(%2)"/>
      <w:numFmt w:val="lowerRoman"/>
      <w:start w:val="2"/>
    </w:lvl>
  </w:abstractNum>
  <w:abstractNum w:abstractNumId="13">
    <w:nsid w:val="7C83E458"/>
    <w:multiLevelType w:val="hybridMultilevel"/>
    <w:lvl w:ilvl="0">
      <w:lvlJc w:val="left"/>
      <w:lvlText w:val="(%1)"/>
      <w:numFmt w:val="lowerLetter"/>
      <w:start w:val="4"/>
    </w:lvl>
    <w:lvl w:ilvl="1">
      <w:lvlJc w:val="left"/>
      <w:lvlText w:val="%2"/>
      <w:numFmt w:val="lowerRoman"/>
      <w:start w:val="1"/>
    </w:lvl>
  </w:abstractNum>
  <w:abstractNum w:abstractNumId="14">
    <w:nsid w:val="257130A3"/>
    <w:multiLevelType w:val="hybridMultilevel"/>
    <w:lvl w:ilvl="0">
      <w:lvlJc w:val="left"/>
      <w:lvlText w:val="%1."/>
      <w:numFmt w:val="decimal"/>
      <w:start w:val="9"/>
    </w:lvl>
    <w:lvl w:ilvl="1">
      <w:lvlJc w:val="left"/>
      <w:lvlText w:val="(%2)"/>
      <w:numFmt w:val="lowerLetter"/>
      <w:start w:val="1"/>
    </w:lvl>
  </w:abstractNum>
  <w:abstractNum w:abstractNumId="15">
    <w:nsid w:val="62BBD95A"/>
    <w:multiLevelType w:val="hybridMultilevel"/>
    <w:lvl w:ilvl="0">
      <w:lvlJc w:val="left"/>
      <w:lvlText w:val="%1"/>
      <w:numFmt w:val="decimal"/>
      <w:start w:val="1"/>
    </w:lvl>
    <w:lvl w:ilvl="1">
      <w:lvlJc w:val="left"/>
      <w:lvlText w:val="(%2)"/>
      <w:numFmt w:val="lowerLetter"/>
      <w:start w:val="7"/>
    </w:lvl>
  </w:abstractNum>
  <w:abstractNum w:abstractNumId="16">
    <w:nsid w:val="436C6125"/>
    <w:multiLevelType w:val="hybridMultilevel"/>
    <w:lvl w:ilvl="0">
      <w:lvlJc w:val="left"/>
      <w:lvlText w:val="%1."/>
      <w:numFmt w:val="decimal"/>
      <w:start w:val="10"/>
    </w:lvl>
    <w:lvl w:ilvl="1">
      <w:lvlJc w:val="left"/>
      <w:lvlText w:val="(%2)"/>
      <w:numFmt w:val="lowerLetter"/>
      <w:start w:val="1"/>
    </w:lvl>
  </w:abstractNum>
  <w:abstractNum w:abstractNumId="17">
    <w:nsid w:val="628C895D"/>
    <w:multiLevelType w:val="hybridMultilevel"/>
    <w:lvl w:ilvl="0">
      <w:lvlJc w:val="left"/>
      <w:lvlText w:val="(%1)"/>
      <w:numFmt w:val="lowerLetter"/>
      <w:start w:val="3"/>
    </w:lvl>
    <w:lvl w:ilvl="1">
      <w:lvlJc w:val="left"/>
      <w:lvlText w:val="(%2)"/>
      <w:numFmt w:val="lowerRoman"/>
      <w:start w:val="1"/>
    </w:lvl>
  </w:abstractNum>
  <w:abstractNum w:abstractNumId="18">
    <w:nsid w:val="333AB105"/>
    <w:multiLevelType w:val="hybridMultilevel"/>
    <w:lvl w:ilvl="0">
      <w:lvlJc w:val="left"/>
      <w:lvlText w:val="(%1)"/>
      <w:numFmt w:val="lowerLetter"/>
      <w:start w:val="8"/>
    </w:lvl>
  </w:abstractNum>
  <w:abstractNum w:abstractNumId="19">
    <w:nsid w:val="721DA317"/>
    <w:multiLevelType w:val="hybridMultilevel"/>
    <w:lvl w:ilvl="0">
      <w:lvlJc w:val="left"/>
      <w:lvlText w:val="%1"/>
      <w:numFmt w:val="decimal"/>
      <w:start w:val="1"/>
    </w:lvl>
    <w:lvl w:ilvl="1">
      <w:lvlJc w:val="left"/>
      <w:lvlText w:val="(%2)"/>
      <w:numFmt w:val="lowerLetter"/>
      <w:start w:val="15"/>
    </w:lvl>
  </w:abstractNum>
  <w:abstractNum w:abstractNumId="20">
    <w:nsid w:val="2443A858"/>
    <w:multiLevelType w:val="hybridMultilevel"/>
    <w:lvl w:ilvl="0">
      <w:lvlJc w:val="left"/>
      <w:lvlText w:val="%1."/>
      <w:numFmt w:val="decimal"/>
      <w:start w:val="11"/>
    </w:lvl>
    <w:lvl w:ilvl="1">
      <w:lvlJc w:val="left"/>
      <w:lvlText w:val="(%2)"/>
      <w:numFmt w:val="lowerLetter"/>
      <w:start w:val="1"/>
    </w:lvl>
  </w:abstractNum>
  <w:abstractNum w:abstractNumId="21">
    <w:nsid w:val="2D1D5AE9"/>
    <w:multiLevelType w:val="hybridMultilevel"/>
    <w:lvl w:ilvl="0">
      <w:lvlJc w:val="left"/>
      <w:lvlText w:val="(%1)"/>
      <w:numFmt w:val="lowerLetter"/>
      <w:start w:val="10"/>
    </w:lvl>
  </w:abstractNum>
  <w:abstractNum w:abstractNumId="22">
    <w:nsid w:val="6763845E"/>
    <w:multiLevelType w:val="hybridMultilevel"/>
    <w:lvl w:ilvl="0">
      <w:lvlJc w:val="left"/>
      <w:lvlText w:val="(%1)"/>
      <w:numFmt w:val="lowerLetter"/>
      <w:start w:val="27"/>
    </w:lvl>
  </w:abstractNum>
  <w:abstractNum w:abstractNumId="23">
    <w:nsid w:val="75A2A8D4"/>
    <w:multiLevelType w:val="hybridMultilevel"/>
    <w:lvl w:ilvl="0">
      <w:lvlJc w:val="left"/>
      <w:lvlText w:val="(%1)"/>
      <w:numFmt w:val="upperLetter"/>
      <w:start w:val="3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2026-06-16T05:11:50Z</dcterms:created>
  <dcterms:modified xsi:type="dcterms:W3CDTF">2026-06-16T05:11:50Z</dcterms:modified>
</cp:coreProperties>
</file>