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40"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2620"/>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1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May 22, 2026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4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______________________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ENCORE CAPITAL GROUP,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17"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000-26489</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48-1090909</w:t>
      </w:r>
    </w:p>
    <w:p>
      <w:pPr>
        <w:spacing w:after="0" w:line="75" w:lineRule="exact"/>
        <w:rPr>
          <w:sz w:val="24"/>
          <w:szCs w:val="24"/>
          <w:color w:val="auto"/>
        </w:rPr>
      </w:pPr>
    </w:p>
    <w:p>
      <w:pPr>
        <w:sectPr>
          <w:pgSz w:w="11900" w:h="16838" w:orient="portrait"/>
          <w:cols w:equalWidth="0" w:num="3">
            <w:col w:w="4460" w:space="720"/>
            <w:col w:w="2980" w:space="720"/>
            <w:col w:w="236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129" w:lineRule="exact"/>
        <w:rPr>
          <w:sz w:val="24"/>
          <w:szCs w:val="24"/>
          <w:color w:val="auto"/>
        </w:rPr>
      </w:pPr>
    </w:p>
    <w:p>
      <w:pPr>
        <w:sectPr>
          <w:pgSz w:w="11900" w:h="16838" w:orient="portrait"/>
          <w:cols w:equalWidth="0" w:num="3">
            <w:col w:w="3820" w:space="720"/>
            <w:col w:w="2800" w:space="720"/>
            <w:col w:w="318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350 Camino de la Reina, Suite 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(877) 345-3002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_____________________</w:t>
      </w:r>
    </w:p>
    <w:p>
      <w:pPr>
        <w:spacing w:after="0" w:line="45"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right="1980" w:firstLine="8"/>
        <w:spacing w:after="0" w:line="266"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1440" w:right="339" w:bottom="1440" w:gutter="0" w:footer="0" w:header="0"/>
          <w:type w:val="continuous"/>
        </w:sectPr>
      </w:pPr>
    </w:p>
    <w:p>
      <w:pPr>
        <w:spacing w:after="0" w:line="9" w:lineRule="exact"/>
        <w:rPr>
          <w:sz w:val="24"/>
          <w:szCs w:val="24"/>
          <w:color w:val="auto"/>
        </w:rPr>
      </w:pPr>
    </w:p>
    <w:p>
      <w:pPr>
        <w:ind w:left="16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Name of each exchange on which registered</w:t>
      </w:r>
    </w:p>
    <w:p>
      <w:pPr>
        <w:spacing w:after="0" w:line="75" w:lineRule="exact"/>
        <w:rPr>
          <w:sz w:val="24"/>
          <w:szCs w:val="24"/>
          <w:color w:val="auto"/>
        </w:rPr>
      </w:pPr>
    </w:p>
    <w:p>
      <w:pPr>
        <w:sectPr>
          <w:pgSz w:w="11900" w:h="16838" w:orient="portrait"/>
          <w:cols w:equalWidth="0" w:num="3">
            <w:col w:w="4160" w:space="720"/>
            <w:col w:w="1520" w:space="720"/>
            <w:col w:w="4120"/>
          </w:cols>
          <w:pgMar w:left="320" w:top="1440" w:right="339" w:bottom="1440" w:gutter="0" w:footer="0" w:header="0"/>
          <w:type w:val="continuous"/>
        </w:sectPr>
      </w:pPr>
    </w:p>
    <w:p>
      <w:pPr>
        <w:ind w:left="520"/>
        <w:spacing w:after="0"/>
        <w:rPr>
          <w:sz w:val="20"/>
          <w:szCs w:val="20"/>
          <w:color w:val="auto"/>
        </w:rPr>
      </w:pPr>
      <w:r>
        <w:rPr>
          <w:rFonts w:ascii="Arial" w:cs="Arial" w:eastAsia="Arial" w:hAnsi="Arial"/>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ECPG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Stock Market LLC</w:t>
      </w:r>
    </w:p>
    <w:p>
      <w:pPr>
        <w:spacing w:after="0" w:line="142" w:lineRule="exact"/>
        <w:rPr>
          <w:sz w:val="24"/>
          <w:szCs w:val="24"/>
          <w:color w:val="auto"/>
        </w:rPr>
      </w:pPr>
    </w:p>
    <w:p>
      <w:pPr>
        <w:sectPr>
          <w:pgSz w:w="11900" w:h="16838" w:orient="portrait"/>
          <w:cols w:equalWidth="0" w:num="3">
            <w:col w:w="4620" w:space="720"/>
            <w:col w:w="1480" w:space="720"/>
            <w:col w:w="3700"/>
          </w:cols>
          <w:pgMar w:left="320" w:top="1440" w:right="33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0"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ind w:firstLine="327"/>
        <w:spacing w:after="0" w:line="268" w:lineRule="auto"/>
        <w:rPr>
          <w:sz w:val="20"/>
          <w:szCs w:val="20"/>
          <w:color w:val="auto"/>
        </w:rPr>
      </w:pPr>
      <w:r>
        <w:rPr>
          <w:rFonts w:ascii="Arial" w:cs="Arial" w:eastAsia="Arial" w:hAnsi="Arial"/>
          <w:sz w:val="18"/>
          <w:szCs w:val="18"/>
          <w:color w:val="212529"/>
        </w:rPr>
        <w:t xml:space="preserve">On </w:t>
      </w:r>
      <w:r>
        <w:rPr>
          <w:rFonts w:ascii="Arial" w:cs="Arial" w:eastAsia="Arial" w:hAnsi="Arial"/>
          <w:sz w:val="18"/>
          <w:szCs w:val="18"/>
          <w:color w:val="000000"/>
        </w:rPr>
        <w:t>May 22, 2026</w:t>
      </w:r>
      <w:r>
        <w:rPr>
          <w:rFonts w:ascii="Arial" w:cs="Arial" w:eastAsia="Arial" w:hAnsi="Arial"/>
          <w:sz w:val="18"/>
          <w:szCs w:val="18"/>
          <w:color w:val="212529"/>
        </w:rPr>
        <w:t>, Encore Capital Group, Inc. (the “</w:t>
      </w:r>
      <w:r>
        <w:rPr>
          <w:rFonts w:ascii="Arial" w:cs="Arial" w:eastAsia="Arial" w:hAnsi="Arial"/>
          <w:sz w:val="18"/>
          <w:szCs w:val="18"/>
          <w:b w:val="1"/>
          <w:bCs w:val="1"/>
          <w:color w:val="212529"/>
        </w:rPr>
        <w:t>Company</w:t>
      </w:r>
      <w:r>
        <w:rPr>
          <w:rFonts w:ascii="Arial" w:cs="Arial" w:eastAsia="Arial" w:hAnsi="Arial"/>
          <w:sz w:val="18"/>
          <w:szCs w:val="18"/>
          <w:color w:val="212529"/>
        </w:rPr>
        <w:t>”) issued $750.0 million aggregate principal amount of 6.625% senior secured notes due 2032 (the “</w:t>
      </w:r>
      <w:r>
        <w:rPr>
          <w:rFonts w:ascii="Arial" w:cs="Arial" w:eastAsia="Arial" w:hAnsi="Arial"/>
          <w:sz w:val="18"/>
          <w:szCs w:val="18"/>
          <w:b w:val="1"/>
          <w:bCs w:val="1"/>
          <w:color w:val="212529"/>
        </w:rPr>
        <w:t>Notes</w:t>
      </w:r>
      <w:r>
        <w:rPr>
          <w:rFonts w:ascii="Arial" w:cs="Arial" w:eastAsia="Arial" w:hAnsi="Arial"/>
          <w:sz w:val="18"/>
          <w:szCs w:val="18"/>
          <w:color w:val="212529"/>
        </w:rPr>
        <w:t>”) pursuant to an indenture (the “Indenture”) between, among others, the Company, certain subsidiaries of the Company as guarantors, GLAS Trust Company LLC as trustee and Truist Bank as security agent.</w:t>
      </w:r>
    </w:p>
    <w:p>
      <w:pPr>
        <w:spacing w:after="0" w:line="171" w:lineRule="exact"/>
        <w:rPr>
          <w:sz w:val="20"/>
          <w:szCs w:val="20"/>
          <w:color w:val="auto"/>
        </w:rPr>
      </w:pPr>
    </w:p>
    <w:p>
      <w:pPr>
        <w:jc w:val="both"/>
        <w:ind w:firstLine="327"/>
        <w:spacing w:after="0" w:line="259" w:lineRule="auto"/>
        <w:rPr>
          <w:sz w:val="20"/>
          <w:szCs w:val="20"/>
          <w:color w:val="auto"/>
        </w:rPr>
      </w:pPr>
      <w:r>
        <w:rPr>
          <w:rFonts w:ascii="Arial" w:cs="Arial" w:eastAsia="Arial" w:hAnsi="Arial"/>
          <w:sz w:val="18"/>
          <w:szCs w:val="18"/>
          <w:color w:val="212529"/>
        </w:rPr>
        <w:t xml:space="preserve">The Notes </w:t>
      </w:r>
      <w:r>
        <w:rPr>
          <w:rFonts w:ascii="Arial" w:cs="Arial" w:eastAsia="Arial" w:hAnsi="Arial"/>
          <w:sz w:val="18"/>
          <w:szCs w:val="18"/>
          <w:color w:val="000000"/>
        </w:rPr>
        <w:t>are</w:t>
      </w:r>
      <w:r>
        <w:rPr>
          <w:rFonts w:ascii="Arial" w:cs="Arial" w:eastAsia="Arial" w:hAnsi="Arial"/>
          <w:sz w:val="18"/>
          <w:szCs w:val="18"/>
          <w:color w:val="212529"/>
        </w:rPr>
        <w:t xml:space="preserve"> senior secured obligations of the Company, and are fully and unconditionally guaranteed on a senior secured basis by substantially all material subsidiaries of the Company. The obligations of the Company and the guarantors are secured, together with the Company’s other senior secured indebtedness, by substantially all of the assets of the Company and the guarantors. The Notes will accrue interest at a rate of 6.625% per annum, payable semi-annually in arrears on June 1 and December 1 of each year, beginning on December 1, 2026. The Notes will mature on June 1, 2032, unless earlier repurchased or redeemed by the Company.</w:t>
      </w:r>
    </w:p>
    <w:p>
      <w:pPr>
        <w:spacing w:after="0" w:line="179" w:lineRule="exact"/>
        <w:rPr>
          <w:sz w:val="20"/>
          <w:szCs w:val="20"/>
          <w:color w:val="auto"/>
        </w:rPr>
      </w:pPr>
    </w:p>
    <w:p>
      <w:pPr>
        <w:jc w:val="both"/>
        <w:ind w:firstLine="327"/>
        <w:spacing w:after="0" w:line="287" w:lineRule="auto"/>
        <w:rPr>
          <w:sz w:val="20"/>
          <w:szCs w:val="20"/>
          <w:color w:val="auto"/>
        </w:rPr>
      </w:pPr>
      <w:r>
        <w:rPr>
          <w:rFonts w:ascii="Arial" w:cs="Arial" w:eastAsia="Arial" w:hAnsi="Arial"/>
          <w:sz w:val="18"/>
          <w:szCs w:val="18"/>
          <w:color w:val="212529"/>
        </w:rPr>
        <w:t>A copy of the Indenture (including the form of the Notes) is attached as an exhibit to this report and is incorporated herein by reference (and this description is qualified in its entirety by reference to such document).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8100" w:type="dxa"/>
            <w:vAlign w:val="bottom"/>
          </w:tcPr>
          <w:p>
            <w:pPr>
              <w:spacing w:after="0"/>
              <w:rPr>
                <w:sz w:val="17"/>
                <w:szCs w:val="17"/>
                <w:color w:val="auto"/>
              </w:rPr>
            </w:pPr>
          </w:p>
        </w:tc>
      </w:tr>
      <w:tr>
        <w:trPr>
          <w:trHeight w:val="250"/>
        </w:trPr>
        <w:tc>
          <w:tcPr>
            <w:tcW w:w="1360" w:type="dxa"/>
            <w:vAlign w:val="bottom"/>
            <w:gridSpan w:val="3"/>
          </w:tcPr>
          <w:p>
            <w:pPr>
              <w:ind w:left="20"/>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400" w:type="dxa"/>
            <w:vAlign w:val="bottom"/>
          </w:tcPr>
          <w:p>
            <w:pPr>
              <w:spacing w:after="0"/>
              <w:rPr>
                <w:sz w:val="21"/>
                <w:szCs w:val="21"/>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 xml:space="preserve">Indenture dated May 22, 2026 between Encore Capital Group, Inc., the subsidiary guarantors party thereto, </w:t>
            </w:r>
            <w:r>
              <w:rPr>
                <w:rFonts w:ascii="Arial" w:cs="Arial" w:eastAsia="Arial" w:hAnsi="Arial"/>
                <w:sz w:val="18"/>
                <w:szCs w:val="18"/>
                <w:color w:val="212529"/>
              </w:rPr>
              <w:t>GLAS</w:t>
            </w:r>
          </w:p>
        </w:tc>
      </w:tr>
      <w:tr>
        <w:trPr>
          <w:trHeight w:val="240"/>
        </w:trPr>
        <w:tc>
          <w:tcPr>
            <w:tcW w:w="2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212529"/>
              </w:rPr>
              <w:t xml:space="preserve">Trust Company LLC </w:t>
            </w:r>
            <w:r>
              <w:rPr>
                <w:rFonts w:ascii="Arial" w:cs="Arial" w:eastAsia="Arial" w:hAnsi="Arial"/>
                <w:sz w:val="18"/>
                <w:szCs w:val="18"/>
                <w:color w:val="000000"/>
              </w:rPr>
              <w:t>as trustee and Truist Bank as security agent</w:t>
            </w:r>
          </w:p>
        </w:tc>
      </w:tr>
      <w:tr>
        <w:trPr>
          <w:trHeight w:val="270"/>
        </w:trPr>
        <w:tc>
          <w:tcPr>
            <w:tcW w:w="1360" w:type="dxa"/>
            <w:vAlign w:val="bottom"/>
            <w:gridSpan w:val="3"/>
          </w:tcPr>
          <w:p>
            <w:pPr>
              <w:ind w:left="20"/>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3"/>
                <w:szCs w:val="23"/>
                <w:color w:val="auto"/>
              </w:rPr>
            </w:pPr>
          </w:p>
        </w:tc>
        <w:tc>
          <w:tcPr>
            <w:tcW w:w="9480" w:type="dxa"/>
            <w:vAlign w:val="bottom"/>
            <w:gridSpan w:val="3"/>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28"/>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ENCORE CAPITAL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40" w:right="3900" w:hanging="5068"/>
        <w:spacing w:after="0" w:line="331" w:lineRule="auto"/>
        <w:tabs>
          <w:tab w:leader="none" w:pos="5820" w:val="left"/>
        </w:tabs>
        <w:rPr>
          <w:sz w:val="20"/>
          <w:szCs w:val="20"/>
          <w:color w:val="auto"/>
        </w:rPr>
      </w:pPr>
      <w:r>
        <w:rPr>
          <w:rFonts w:ascii="Arial" w:cs="Arial" w:eastAsia="Arial" w:hAnsi="Arial"/>
          <w:sz w:val="18"/>
          <w:szCs w:val="18"/>
          <w:color w:val="auto"/>
        </w:rPr>
        <w:t>Date: May 22, 2026</w:t>
      </w:r>
      <w:r>
        <w:rPr>
          <w:sz w:val="20"/>
          <w:szCs w:val="20"/>
          <w:color w:val="auto"/>
        </w:rPr>
        <w:tab/>
      </w:r>
      <w:r>
        <w:rPr>
          <w:rFonts w:ascii="Arial" w:cs="Arial" w:eastAsia="Arial" w:hAnsi="Arial"/>
          <w:sz w:val="17"/>
          <w:szCs w:val="17"/>
          <w:u w:val="single" w:color="auto"/>
          <w:color w:val="auto"/>
        </w:rPr>
        <w:t xml:space="preserve">/s/ Tomas Hernanz </w:t>
      </w:r>
      <w:r>
        <w:rPr>
          <w:rFonts w:ascii="Arial" w:cs="Arial" w:eastAsia="Arial" w:hAnsi="Arial"/>
          <w:sz w:val="17"/>
          <w:szCs w:val="17"/>
          <w:color w:val="auto"/>
        </w:rPr>
        <w:t>Tomas Hernanz</w:t>
      </w:r>
    </w:p>
    <w:p>
      <w:pPr>
        <w:spacing w:after="0" w:line="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60" w:type="dxa"/>
            <w:vAlign w:val="bottom"/>
          </w:tcPr>
          <w:p>
            <w:pPr>
              <w:ind w:left="1820"/>
              <w:spacing w:after="0"/>
              <w:rPr>
                <w:sz w:val="20"/>
                <w:szCs w:val="20"/>
                <w:color w:val="auto"/>
              </w:rPr>
            </w:pPr>
            <w:r>
              <w:rPr>
                <w:rFonts w:ascii="Arial" w:cs="Arial" w:eastAsia="Arial" w:hAnsi="Arial"/>
                <w:sz w:val="18"/>
                <w:szCs w:val="18"/>
                <w:b w:val="1"/>
                <w:bCs w:val="1"/>
                <w:color w:val="auto"/>
              </w:rPr>
              <w:t>EXHIBIT INDEX</w:t>
            </w:r>
          </w:p>
        </w:tc>
      </w:tr>
      <w:tr>
        <w:trPr>
          <w:trHeight w:val="582"/>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Exhibit Number</w:t>
            </w: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Description</w:t>
            </w:r>
          </w:p>
        </w:tc>
        <w:tc>
          <w:tcPr>
            <w:tcW w:w="8060" w:type="dxa"/>
            <w:vAlign w:val="bottom"/>
          </w:tcPr>
          <w:p>
            <w:pPr>
              <w:spacing w:after="0"/>
              <w:rPr>
                <w:sz w:val="24"/>
                <w:szCs w:val="24"/>
                <w:color w:val="auto"/>
              </w:rPr>
            </w:pPr>
          </w:p>
        </w:tc>
      </w:tr>
      <w:tr>
        <w:trPr>
          <w:trHeight w:val="250"/>
        </w:trPr>
        <w:tc>
          <w:tcPr>
            <w:tcW w:w="1340" w:type="dxa"/>
            <w:vAlign w:val="bottom"/>
            <w:gridSpan w:val="2"/>
          </w:tcPr>
          <w:p>
            <w:pPr>
              <w:spacing w:after="0"/>
              <w:rPr>
                <w:sz w:val="20"/>
                <w:szCs w:val="20"/>
                <w:color w:val="auto"/>
              </w:rPr>
            </w:pPr>
            <w:r>
              <w:rPr>
                <w:rFonts w:ascii="Arial" w:cs="Arial" w:eastAsia="Arial" w:hAnsi="Arial"/>
                <w:sz w:val="18"/>
                <w:szCs w:val="18"/>
                <w:color w:val="0000FF"/>
              </w:rPr>
              <w:t>4.</w:t>
            </w:r>
            <w:r>
              <w:rPr>
                <w:rFonts w:ascii="Arial" w:cs="Arial" w:eastAsia="Arial" w:hAnsi="Arial"/>
                <w:sz w:val="18"/>
                <w:szCs w:val="18"/>
                <w:u w:val="single" w:color="auto"/>
                <w:color w:val="0000FF"/>
              </w:rPr>
              <w:t>1</w:t>
            </w:r>
          </w:p>
        </w:tc>
        <w:tc>
          <w:tcPr>
            <w:tcW w:w="400" w:type="dxa"/>
            <w:vAlign w:val="bottom"/>
          </w:tcPr>
          <w:p>
            <w:pPr>
              <w:spacing w:after="0"/>
              <w:rPr>
                <w:sz w:val="21"/>
                <w:szCs w:val="21"/>
                <w:color w:val="auto"/>
              </w:rPr>
            </w:pPr>
          </w:p>
        </w:tc>
        <w:tc>
          <w:tcPr>
            <w:tcW w:w="9440" w:type="dxa"/>
            <w:vAlign w:val="bottom"/>
            <w:gridSpan w:val="3"/>
          </w:tcPr>
          <w:p>
            <w:pPr>
              <w:ind w:left="380"/>
              <w:spacing w:after="0"/>
              <w:rPr>
                <w:sz w:val="20"/>
                <w:szCs w:val="20"/>
                <w:color w:val="auto"/>
              </w:rPr>
            </w:pPr>
            <w:r>
              <w:rPr>
                <w:rFonts w:ascii="Arial" w:cs="Arial" w:eastAsia="Arial" w:hAnsi="Arial"/>
                <w:sz w:val="18"/>
                <w:szCs w:val="18"/>
                <w:color w:val="auto"/>
                <w:w w:val="99"/>
              </w:rPr>
              <w:t xml:space="preserve">Indenture dated May 22, 2026 between Encore Capital Group, Inc., the subsidiary guarantors party thereto, </w:t>
            </w:r>
            <w:r>
              <w:rPr>
                <w:rFonts w:ascii="Arial" w:cs="Arial" w:eastAsia="Arial" w:hAnsi="Arial"/>
                <w:sz w:val="18"/>
                <w:szCs w:val="18"/>
                <w:color w:val="212529"/>
                <w:w w:val="99"/>
              </w:rPr>
              <w:t>GLAS</w:t>
            </w:r>
          </w:p>
        </w:tc>
      </w:tr>
      <w:tr>
        <w:trPr>
          <w:trHeight w:val="241"/>
        </w:trPr>
        <w:tc>
          <w:tcPr>
            <w:tcW w:w="260" w:type="dxa"/>
            <w:vAlign w:val="bottom"/>
            <w:tcBorders>
              <w:top w:val="single" w:sz="8" w:color="0000FF"/>
            </w:tcBorders>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40" w:type="dxa"/>
            <w:vAlign w:val="bottom"/>
            <w:gridSpan w:val="3"/>
          </w:tcPr>
          <w:p>
            <w:pPr>
              <w:ind w:left="380"/>
              <w:spacing w:after="0"/>
              <w:rPr>
                <w:sz w:val="20"/>
                <w:szCs w:val="20"/>
                <w:color w:val="auto"/>
              </w:rPr>
            </w:pPr>
            <w:r>
              <w:rPr>
                <w:rFonts w:ascii="Arial" w:cs="Arial" w:eastAsia="Arial" w:hAnsi="Arial"/>
                <w:sz w:val="18"/>
                <w:szCs w:val="18"/>
                <w:color w:val="212529"/>
              </w:rPr>
              <w:t xml:space="preserve">Trust Company LLC </w:t>
            </w:r>
            <w:r>
              <w:rPr>
                <w:rFonts w:ascii="Arial" w:cs="Arial" w:eastAsia="Arial" w:hAnsi="Arial"/>
                <w:sz w:val="18"/>
                <w:szCs w:val="18"/>
                <w:color w:val="000000"/>
              </w:rPr>
              <w:t>as trustee and Truist Bank as security agent</w:t>
            </w:r>
          </w:p>
        </w:tc>
      </w:tr>
      <w:tr>
        <w:trPr>
          <w:trHeight w:val="270"/>
        </w:trPr>
        <w:tc>
          <w:tcPr>
            <w:tcW w:w="1340" w:type="dxa"/>
            <w:vAlign w:val="bottom"/>
            <w:gridSpan w:val="2"/>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3"/>
                <w:szCs w:val="23"/>
                <w:color w:val="auto"/>
              </w:rPr>
            </w:pPr>
          </w:p>
        </w:tc>
        <w:tc>
          <w:tcPr>
            <w:tcW w:w="9440" w:type="dxa"/>
            <w:vAlign w:val="bottom"/>
            <w:gridSpan w:val="3"/>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180"/>
          </w:cols>
          <w:pgMar w:left="340" w:top="144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1134110</wp:posOffset>
            </wp:positionV>
            <wp:extent cx="137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ENCORE CAPITAL GROUP, INC.,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the Company</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THE GUARANTORS PARTIES HERETO,</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$750,000,000 of 6.625% Senior Secured Notes due 2032</w:t>
      </w:r>
    </w:p>
    <w:p>
      <w:pPr>
        <w:spacing w:after="0" w:line="23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2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INDENTURE</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May 22, 2026</w:t>
      </w:r>
    </w:p>
    <w:p>
      <w:pPr>
        <w:spacing w:after="0" w:line="2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Trustee</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Principal Paying Agent and Transfer Agent</w:t>
      </w:r>
    </w:p>
    <w:p>
      <w:pPr>
        <w:spacing w:after="0" w:line="19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as Registrar</w:t>
      </w:r>
    </w:p>
    <w:p>
      <w:pPr>
        <w:spacing w:after="0" w:line="20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TRUIST BANK,</w:t>
      </w:r>
    </w:p>
    <w:p>
      <w:pPr>
        <w:spacing w:after="0" w:line="2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as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715645</wp:posOffset>
            </wp:positionV>
            <wp:extent cx="137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jc w:val="center"/>
        <w:ind w:right="-112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color w:val="auto"/>
        </w:rPr>
        <w:t>Article I Definitions and Incorporation by Reference</w:t>
      </w:r>
    </w:p>
    <w:p>
      <w:pPr>
        <w:sectPr>
          <w:pgSz w:w="11900" w:h="16838" w:orient="portrait"/>
          <w:cols w:equalWidth="0" w:num="1">
            <w:col w:w="10139"/>
          </w:cols>
          <w:pgMar w:left="320" w:top="1422" w:right="1440" w:bottom="1440" w:gutter="0" w:footer="0" w:header="0"/>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Definitions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Rules of Construction</w:t>
      </w:r>
    </w:p>
    <w:p>
      <w:pPr>
        <w:spacing w:after="0" w:line="200" w:lineRule="exact"/>
        <w:rPr>
          <w:sz w:val="20"/>
          <w:szCs w:val="20"/>
          <w:color w:val="auto"/>
        </w:rPr>
      </w:pPr>
    </w:p>
    <w:p>
      <w:pPr>
        <w:sectPr>
          <w:pgSz w:w="11900" w:h="16838" w:orient="portrait"/>
          <w:cols w:equalWidth="0" w:num="2">
            <w:col w:w="1140" w:space="440"/>
            <w:col w:w="8559"/>
          </w:cols>
          <w:pgMar w:left="320" w:top="1422" w:right="1440" w:bottom="1440" w:gutter="0" w:footer="0" w:header="0"/>
          <w:type w:val="continuous"/>
        </w:sectPr>
      </w:pP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1"/>
          <w:szCs w:val="21"/>
          <w:color w:val="auto"/>
        </w:rPr>
        <w:t>Article II The Notes</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2.13.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2.15.</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Form and Dating</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Execution and Authentication</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Registrar, Paying Agent and Transfer Agent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Paying Agent to Hold Money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Holder Lists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Transfer and Exchange</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Replacement Notes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Outstanding Notes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Treasury Notes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Temporary Notes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Cancellation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Defaulted Interest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Amounts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Currency Indemnity</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Deposit of Moneys</w:t>
      </w:r>
    </w:p>
    <w:p>
      <w:pPr>
        <w:spacing w:after="0" w:line="196" w:lineRule="exact"/>
        <w:rPr>
          <w:sz w:val="20"/>
          <w:szCs w:val="20"/>
          <w:color w:val="auto"/>
        </w:rPr>
      </w:pPr>
    </w:p>
    <w:p>
      <w:pPr>
        <w:sectPr>
          <w:pgSz w:w="11900" w:h="16838" w:orient="portrait"/>
          <w:cols w:equalWidth="0" w:num="2">
            <w:col w:w="1140" w:space="420"/>
            <w:col w:w="8579"/>
          </w:cols>
          <w:pgMar w:left="320" w:top="1422" w:right="1440"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21"/>
          <w:szCs w:val="21"/>
          <w:color w:val="auto"/>
        </w:rPr>
        <w:t>Article III Redemption and Prepayment</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3.10.</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Notices to Trustee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Selection of Notes to be Redeemed or Purchased</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Notice of Redemption</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Effect of Notice of Redemption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Deposit of Redemption or Purchase Price</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Notes Redeemed or Purchased in Part</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Optional Redemption</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Mandatory Redemption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Asset Disposition Offer</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Redemption for Taxation Reasons</w:t>
      </w:r>
    </w:p>
    <w:p>
      <w:pPr>
        <w:spacing w:after="0" w:line="196" w:lineRule="exact"/>
        <w:rPr>
          <w:sz w:val="20"/>
          <w:szCs w:val="20"/>
          <w:color w:val="auto"/>
        </w:rPr>
      </w:pPr>
    </w:p>
    <w:p>
      <w:pPr>
        <w:sectPr>
          <w:pgSz w:w="11900" w:h="16838" w:orient="portrait"/>
          <w:cols w:equalWidth="0" w:num="2">
            <w:col w:w="1140" w:space="420"/>
            <w:col w:w="8579"/>
          </w:cols>
          <w:pgMar w:left="320" w:top="1422" w:right="1440" w:bottom="1440" w:gutter="0" w:footer="0" w:header="0"/>
          <w:type w:val="continuous"/>
        </w:sectPr>
      </w:pPr>
    </w:p>
    <w:p>
      <w:pPr>
        <w:ind w:left="4700"/>
        <w:spacing w:after="0"/>
        <w:rPr>
          <w:sz w:val="20"/>
          <w:szCs w:val="20"/>
          <w:color w:val="auto"/>
        </w:rPr>
      </w:pPr>
      <w:r>
        <w:rPr>
          <w:rFonts w:ascii="Times New Roman" w:cs="Times New Roman" w:eastAsia="Times New Roman" w:hAnsi="Times New Roman"/>
          <w:sz w:val="21"/>
          <w:szCs w:val="21"/>
          <w:color w:val="auto"/>
        </w:rPr>
        <w:t>Article IV Covenants</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4.05.</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of Notes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Maintenance of Office or Agency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Compliance Certificates and Notices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w:t>
      </w:r>
    </w:p>
    <w:p>
      <w:pPr>
        <w:sectPr>
          <w:pgSz w:w="11900" w:h="16838" w:orient="portrait"/>
          <w:cols w:equalWidth="0" w:num="2">
            <w:col w:w="1140" w:space="440"/>
            <w:col w:w="8559"/>
          </w:cols>
          <w:pgMar w:left="320" w:top="1422" w:right="1440"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1"/>
          <w:szCs w:val="21"/>
          <w:color w:val="auto"/>
        </w:rPr>
        <w:t>Section 4.06.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4.09.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4.19.</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21"/>
          <w:szCs w:val="21"/>
          <w:color w:val="auto"/>
        </w:rPr>
        <w:t>Limitation on Company Activities; Limitation on Trust Management SPVs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Restricted Payments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Limitation on Restrictions on Distributions from Restricted Subsidiaries</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Limitation on Indebtedness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Limitation on Sales of Assets and Subsidiary Stock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Transactions with Affiliates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Liens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[Intentionally Omitted].</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Corporate Existence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Offer to Repurchase upon Change of Control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Note Guarantees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Maintenance of Listing</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Suspension of Covenants on Achievement of Investment Grade Status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Further Instruments and Acts</w:t>
      </w:r>
    </w:p>
    <w:p>
      <w:pPr>
        <w:spacing w:after="0" w:line="200" w:lineRule="exact"/>
        <w:rPr>
          <w:sz w:val="20"/>
          <w:szCs w:val="20"/>
          <w:color w:val="auto"/>
        </w:rPr>
      </w:pPr>
    </w:p>
    <w:p>
      <w:pPr>
        <w:sectPr>
          <w:pgSz w:w="11900" w:h="16838" w:orient="portrait"/>
          <w:cols w:equalWidth="0" w:num="2">
            <w:col w:w="1140" w:space="420"/>
            <w:col w:w="8579"/>
          </w:cols>
          <w:pgMar w:left="320" w:top="1422" w:right="1440" w:bottom="1440" w:gutter="0" w:footer="0" w:header="0"/>
        </w:sectPr>
      </w:pP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Article V Successors</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5.01.</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Merger and Consolidation</w:t>
      </w:r>
    </w:p>
    <w:p>
      <w:pPr>
        <w:spacing w:after="0" w:line="200" w:lineRule="exact"/>
        <w:rPr>
          <w:sz w:val="20"/>
          <w:szCs w:val="20"/>
          <w:color w:val="auto"/>
        </w:rPr>
      </w:pPr>
    </w:p>
    <w:p>
      <w:pPr>
        <w:sectPr>
          <w:pgSz w:w="11900" w:h="16838" w:orient="portrait"/>
          <w:cols w:equalWidth="0" w:num="2">
            <w:col w:w="1140" w:space="440"/>
            <w:col w:w="8559"/>
          </w:cols>
          <w:pgMar w:left="320" w:top="1422" w:right="1440" w:bottom="1440" w:gutter="0" w:footer="0" w:header="0"/>
          <w:type w:val="continuous"/>
        </w:sectPr>
      </w:pP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color w:val="auto"/>
        </w:rPr>
        <w:t>Article VI Defaults and Remedies</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6.09.</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6.13.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Acceleration</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Other Remedies</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Waiver of Past Defaults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Control by Majority</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Limitation on Suits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Rights of Holders to Receive Payment</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Collection Suit by Trustee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Trustee may File Proofs of Claim</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Priorities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Undertaking for Costs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Stay, Extension and Usury Laws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Restoration of Rights and Remedies</w:t>
      </w:r>
    </w:p>
    <w:p>
      <w:pPr>
        <w:spacing w:after="0" w:line="200" w:lineRule="exact"/>
        <w:rPr>
          <w:sz w:val="20"/>
          <w:szCs w:val="20"/>
          <w:color w:val="auto"/>
        </w:rPr>
      </w:pPr>
    </w:p>
    <w:p>
      <w:pPr>
        <w:sectPr>
          <w:pgSz w:w="11900" w:h="16838" w:orient="portrait"/>
          <w:cols w:equalWidth="0" w:num="2">
            <w:col w:w="1140" w:space="420"/>
            <w:col w:w="8579"/>
          </w:cols>
          <w:pgMar w:left="320" w:top="1422" w:right="1440" w:bottom="1440" w:gutter="0" w:footer="0" w:header="0"/>
          <w:type w:val="continuous"/>
        </w:sectPr>
      </w:pP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Article VII The Trustee</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7.08.</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Duties of Trustee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Rights of Trustee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Individual Rights of Trustee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Trustee’s Disclaimer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Defaults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[Intentionally Omitted]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Compensation and Indemnity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Replacement of Trustee</w:t>
      </w:r>
    </w:p>
    <w:p>
      <w:pPr>
        <w:sectPr>
          <w:pgSz w:w="11900" w:h="16838" w:orient="portrait"/>
          <w:cols w:equalWidth="0" w:num="2">
            <w:col w:w="1140" w:space="440"/>
            <w:col w:w="8559"/>
          </w:cols>
          <w:pgMar w:left="320" w:top="1422" w:right="1440"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Section 7.09.</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7.10.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7.11.</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21"/>
          <w:szCs w:val="21"/>
          <w:color w:val="auto"/>
        </w:rPr>
        <w:t>Successor Trustee by Merger, etc.</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Eligibility; Disqualification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Resignation of Agents</w:t>
      </w:r>
    </w:p>
    <w:p>
      <w:pPr>
        <w:spacing w:after="0" w:line="200" w:lineRule="exact"/>
        <w:rPr>
          <w:sz w:val="20"/>
          <w:szCs w:val="20"/>
          <w:color w:val="auto"/>
        </w:rPr>
      </w:pPr>
    </w:p>
    <w:p>
      <w:pPr>
        <w:sectPr>
          <w:pgSz w:w="11900" w:h="16838" w:orient="portrait"/>
          <w:cols w:equalWidth="0" w:num="2">
            <w:col w:w="1140" w:space="420"/>
            <w:col w:w="8579"/>
          </w:cols>
          <w:pgMar w:left="320" w:top="1422" w:right="1440" w:bottom="1440" w:gutter="0" w:footer="0" w:header="0"/>
        </w:sectPr>
      </w:pP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Article VIII Legal Defeasance and Covenant Defeasance</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8.07.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Option to Effect Legal Defeasance or Covenant Defeasance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Defeasance and Discharge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Covenant Defeasance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Conditions to Legal Defeasance or Covenant Defeasance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Deposited Money and Government Securities to be held in Trust; Other Miscellaneous Provisions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Repayment to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Reinstatement</w:t>
      </w:r>
    </w:p>
    <w:p>
      <w:pPr>
        <w:spacing w:after="0" w:line="196" w:lineRule="exact"/>
        <w:rPr>
          <w:sz w:val="20"/>
          <w:szCs w:val="20"/>
          <w:color w:val="auto"/>
        </w:rPr>
      </w:pPr>
    </w:p>
    <w:p>
      <w:pPr>
        <w:sectPr>
          <w:pgSz w:w="11900" w:h="16838" w:orient="portrait"/>
          <w:cols w:equalWidth="0" w:num="2">
            <w:col w:w="1140" w:space="440"/>
            <w:col w:w="8559"/>
          </w:cols>
          <w:pgMar w:left="320" w:top="1422" w:right="1440"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21"/>
          <w:szCs w:val="21"/>
          <w:color w:val="auto"/>
        </w:rPr>
        <w:t>Article IX Amendment, Supplement and Waiver</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9.07.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Without Consent of 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Consent of Holders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Supplemental Indenture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Revocation and Effect of Consents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Notation on or Exchange of Notes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Trustee to Sign Amendments, etc.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Payments for Consent</w:t>
      </w:r>
    </w:p>
    <w:p>
      <w:pPr>
        <w:spacing w:after="0" w:line="200" w:lineRule="exact"/>
        <w:rPr>
          <w:sz w:val="20"/>
          <w:szCs w:val="20"/>
          <w:color w:val="auto"/>
        </w:rPr>
      </w:pPr>
    </w:p>
    <w:p>
      <w:pPr>
        <w:sectPr>
          <w:pgSz w:w="11900" w:h="16838" w:orient="portrait"/>
          <w:cols w:equalWidth="0" w:num="2">
            <w:col w:w="1140" w:space="440"/>
            <w:col w:w="8559"/>
          </w:cols>
          <w:pgMar w:left="320" w:top="1422" w:right="1440" w:bottom="1440" w:gutter="0" w:footer="0" w:header="0"/>
          <w:type w:val="continuous"/>
        </w:sectPr>
      </w:pP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1"/>
          <w:szCs w:val="21"/>
          <w:color w:val="auto"/>
        </w:rPr>
        <w:t>Article X Satisfaction and Discharge</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10.02.</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Satisfaction and Discharge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Application of Trust Money</w:t>
      </w:r>
    </w:p>
    <w:p>
      <w:pPr>
        <w:spacing w:after="0" w:line="200" w:lineRule="exact"/>
        <w:rPr>
          <w:sz w:val="20"/>
          <w:szCs w:val="20"/>
          <w:color w:val="auto"/>
        </w:rPr>
      </w:pPr>
    </w:p>
    <w:p>
      <w:pPr>
        <w:sectPr>
          <w:pgSz w:w="11900" w:h="16838" w:orient="portrait"/>
          <w:cols w:equalWidth="0" w:num="2">
            <w:col w:w="1260" w:space="420"/>
            <w:col w:w="8459"/>
          </w:cols>
          <w:pgMar w:left="320" w:top="1422" w:right="1440" w:bottom="1440" w:gutter="0" w:footer="0" w:header="0"/>
          <w:type w:val="continuous"/>
        </w:sectPr>
      </w:pP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color w:val="auto"/>
        </w:rPr>
        <w:t>Article XI Guarantees</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11.07.</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11.08.</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Guarantees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Limitation on Liability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Successors and Assigns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Waiver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Modification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Execution of Supplemental Indenture for Future Guarantors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Non-Impairment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Release of Guarantees</w:t>
      </w:r>
    </w:p>
    <w:p>
      <w:pPr>
        <w:spacing w:after="0" w:line="200" w:lineRule="exact"/>
        <w:rPr>
          <w:sz w:val="20"/>
          <w:szCs w:val="20"/>
          <w:color w:val="auto"/>
        </w:rPr>
      </w:pPr>
    </w:p>
    <w:p>
      <w:pPr>
        <w:sectPr>
          <w:pgSz w:w="11900" w:h="16838" w:orient="portrait"/>
          <w:cols w:equalWidth="0" w:num="2">
            <w:col w:w="1240" w:space="440"/>
            <w:col w:w="8459"/>
          </w:cols>
          <w:pgMar w:left="320" w:top="1422" w:right="1440" w:bottom="1440" w:gutter="0" w:footer="0" w:header="0"/>
          <w:type w:val="continuous"/>
        </w:sectPr>
      </w:pPr>
    </w:p>
    <w:p>
      <w:pPr>
        <w:spacing w:after="0" w:line="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color w:val="auto"/>
        </w:rPr>
        <w:t>Article XII Collateral, Security and Intercreditor Agreement</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Limitations on the Collateral.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Impairment of Security Interests.</w:t>
      </w:r>
    </w:p>
    <w:p>
      <w:pPr>
        <w:sectPr>
          <w:pgSz w:w="11900" w:h="16838" w:orient="portrait"/>
          <w:cols w:equalWidth="0" w:num="2">
            <w:col w:w="1260" w:space="420"/>
            <w:col w:w="8459"/>
          </w:cols>
          <w:pgMar w:left="320" w:top="1422"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Section 12.04.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12.07.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Release of Liens on the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Intercreditor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Amendments to the Intercreditor Agreement.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Agent.</w:t>
      </w:r>
    </w:p>
    <w:p>
      <w:pPr>
        <w:spacing w:after="0" w:line="200" w:lineRule="exact"/>
        <w:rPr>
          <w:sz w:val="20"/>
          <w:szCs w:val="20"/>
          <w:color w:val="auto"/>
        </w:rPr>
      </w:pPr>
    </w:p>
    <w:p>
      <w:pPr>
        <w:sectPr>
          <w:pgSz w:w="11900" w:h="16838" w:orient="portrait"/>
          <w:cols w:equalWidth="0" w:num="2">
            <w:col w:w="1260" w:space="420"/>
            <w:col w:w="8459"/>
          </w:cols>
          <w:pgMar w:left="320" w:top="1422" w:right="1440" w:bottom="1440" w:gutter="0" w:footer="0" w:header="0"/>
        </w:sectPr>
      </w:pP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Article XIII Miscellaneous</w:t>
      </w:r>
    </w:p>
    <w:p>
      <w:pPr>
        <w:sectPr>
          <w:pgSz w:w="11900" w:h="16838" w:orient="portrait"/>
          <w:cols w:equalWidth="0" w:num="1">
            <w:col w:w="10139"/>
          </w:cols>
          <w:pgMar w:left="320" w:top="1422" w:right="1440"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13.07.</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13.08.</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13.09.</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13.11.</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13.17.</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 and Acknowledgement with Respect to the Exercise of the Bail-in Power.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Communications.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Certificate and Opinion as to Conditions Precedent.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Statements Required in Certificate or Opinion.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Rules by Trustee and Agents.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Personal Liability of Directors, Officers, Employees and Shareholders.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Governing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 Adverse Interpretation of Other Agreements.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Severability.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Counterpart Originals.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Table of Contents, Headings, etc.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Submission to Jurisdiction; Appointment of Agent.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Prescription.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Matters.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 PATRIOT Act.</w:t>
      </w:r>
    </w:p>
    <w:p>
      <w:pPr>
        <w:spacing w:after="0" w:line="200" w:lineRule="exact"/>
        <w:rPr>
          <w:sz w:val="20"/>
          <w:szCs w:val="20"/>
          <w:color w:val="auto"/>
        </w:rPr>
      </w:pPr>
    </w:p>
    <w:p>
      <w:pPr>
        <w:sectPr>
          <w:pgSz w:w="11900" w:h="16838" w:orient="portrait"/>
          <w:cols w:equalWidth="0" w:num="2">
            <w:col w:w="1260" w:space="420"/>
            <w:col w:w="8459"/>
          </w:cols>
          <w:pgMar w:left="320" w:top="1422" w:right="1440"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NOTE</w:t>
      </w:r>
    </w:p>
    <w:p>
      <w:pPr>
        <w:spacing w:after="0" w:line="23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CERTIFICATE OF TRANSFER</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FORM OF CERTIFICATE OF EXCHANGE</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FORM OF SUPPLEMENTAL INDENTURE</w:t>
      </w:r>
    </w:p>
    <w:p>
      <w:pPr>
        <w:spacing w:after="0" w:line="22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E</w:t>
      </w:r>
      <w:r>
        <w:rPr>
          <w:sz w:val="20"/>
          <w:szCs w:val="20"/>
          <w:color w:val="auto"/>
        </w:rPr>
        <w:tab/>
      </w:r>
      <w:r>
        <w:rPr>
          <w:rFonts w:ascii="Times New Roman" w:cs="Times New Roman" w:eastAsia="Times New Roman" w:hAnsi="Times New Roman"/>
          <w:sz w:val="21"/>
          <w:szCs w:val="21"/>
          <w:color w:val="auto"/>
        </w:rPr>
        <w:t>AGREED SECURITY PRINCIPLES</w:t>
      </w:r>
    </w:p>
    <w:p>
      <w:pPr>
        <w:sectPr>
          <w:pgSz w:w="11900" w:h="16838" w:orient="portrait"/>
          <w:cols w:equalWidth="0" w:num="1">
            <w:col w:w="10139"/>
          </w:cols>
          <w:pgMar w:left="320" w:top="1422" w:right="1440" w:bottom="1440" w:gutter="0" w:footer="0" w:header="0"/>
          <w:type w:val="continuous"/>
        </w:sectPr>
      </w:pPr>
    </w:p>
    <w:bookmarkStart w:id="9" w:name="page10"/>
    <w:bookmarkEnd w:id="9"/>
    <w:p>
      <w:pPr>
        <w:spacing w:after="0" w:line="374" w:lineRule="exact"/>
        <w:rPr>
          <w:sz w:val="20"/>
          <w:szCs w:val="20"/>
          <w:color w:val="auto"/>
        </w:rPr>
      </w:pPr>
    </w:p>
    <w:p>
      <w:pPr>
        <w:ind w:right="60" w:firstLine="1296"/>
        <w:spacing w:after="0" w:line="217" w:lineRule="auto"/>
        <w:rPr>
          <w:sz w:val="20"/>
          <w:szCs w:val="20"/>
          <w:color w:val="auto"/>
        </w:rPr>
      </w:pPr>
      <w:r>
        <w:rPr>
          <w:rFonts w:ascii="Times New Roman" w:cs="Times New Roman" w:eastAsia="Times New Roman" w:hAnsi="Times New Roman"/>
          <w:sz w:val="22"/>
          <w:szCs w:val="22"/>
          <w:color w:val="auto"/>
        </w:rPr>
        <w:t>INDENTURE dated as of May 22, 2026 among ENCORE CAPITAL GROUP, INC., a Delaware corporation (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certain subsidiaries of the Company from time to time parties hereto, GLAS TRUST COMPANY LLC, as trustee (the “</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GLAS TRUST COMPANY LLC, as principal paying agent and transfer agent (the “</w:t>
      </w:r>
      <w:r>
        <w:rPr>
          <w:rFonts w:ascii="Times New Roman" w:cs="Times New Roman" w:eastAsia="Times New Roman" w:hAnsi="Times New Roman"/>
          <w:sz w:val="22"/>
          <w:szCs w:val="22"/>
          <w:u w:val="single" w:color="auto"/>
          <w:color w:val="auto"/>
        </w:rPr>
        <w:t>Principal Paying Agent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 respectively), GLAS TRUST COMPANY LLC, as registrar (the “</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and TRUIST BANK, as security agent (the “</w:t>
      </w:r>
      <w:r>
        <w:rPr>
          <w:rFonts w:ascii="Times New Roman" w:cs="Times New Roman" w:eastAsia="Times New Roman" w:hAnsi="Times New Roman"/>
          <w:sz w:val="22"/>
          <w:szCs w:val="22"/>
          <w:u w:val="single" w:color="auto"/>
          <w:color w:val="auto"/>
        </w:rPr>
        <w:t>Security Agent</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Each party agrees as follows for the benefit of each other and for the other parties and for the equal and ratable benefit of the Holders (as defined herein) of (i) the $750,000,000 of principal amount of the Company’s 6.625% Senior Secured Notes due 2032 (the “</w:t>
      </w:r>
      <w:r>
        <w:rPr>
          <w:rFonts w:ascii="Times New Roman" w:cs="Times New Roman" w:eastAsia="Times New Roman" w:hAnsi="Times New Roman"/>
          <w:sz w:val="22"/>
          <w:szCs w:val="22"/>
          <w:u w:val="single" w:color="auto"/>
          <w:color w:val="auto"/>
        </w:rPr>
        <w:t>Initial Notes</w:t>
      </w:r>
      <w:r>
        <w:rPr>
          <w:rFonts w:ascii="Times New Roman" w:cs="Times New Roman" w:eastAsia="Times New Roman" w:hAnsi="Times New Roman"/>
          <w:sz w:val="22"/>
          <w:szCs w:val="22"/>
          <w:color w:val="auto"/>
        </w:rPr>
        <w:t>”) and (ii) additional securities having identical terms and conditions as the Initial Notes (save for payment of interest accruing prior to the issue date of such additional notes or for the first payment of interest following the issue date of such notes), together with any additional Notes issued from time to time under this Indenture in accordance with Section 2.02 and 4.09 hereof, (the “</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 that may be issued on any later issue date subject to the conditions and in compliance with the covenants set forth herein. Unless the context otherwise requires, in this Indenture references to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include the Initial Notes and any Additional Notes that are actually 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 and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-29210</wp:posOffset>
            </wp:positionV>
            <wp:extent cx="2391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144A Global Note</w:t>
      </w:r>
      <w:r>
        <w:rPr>
          <w:rFonts w:ascii="Times New Roman" w:cs="Times New Roman" w:eastAsia="Times New Roman" w:hAnsi="Times New Roman"/>
          <w:sz w:val="22"/>
          <w:szCs w:val="22"/>
          <w:color w:val="auto"/>
        </w:rPr>
        <w:t>” means a Global Note substantially in the form of Exhibit A hereto bearing the applicable Global Note Legend and the Private Placement Legend and deposited with or on behalf of, and registered in the name of the respective Depositary therefor or its nominee that will be issued in a denomination equal to the outstanding principal amount of the Notes sold in reliance on Rule 144A.</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Acquired Indebtedness</w:t>
      </w:r>
      <w:r>
        <w:rPr>
          <w:rFonts w:ascii="Times New Roman" w:cs="Times New Roman" w:eastAsia="Times New Roman" w:hAnsi="Times New Roman"/>
          <w:sz w:val="22"/>
          <w:szCs w:val="22"/>
          <w:color w:val="auto"/>
        </w:rPr>
        <w:t>” means Indebtedness (1) of a Person or any of its Subsidiaries existing at the time such Person becomes a Restricted Subsidiary, (2) assumed in connection with the acquisition of assets from any Person, in each case whether or not Incurred in connection with such Person becoming a Restricted Subsidiary or such acquisition or (3) of a Person at the time such Person merges with or into or consolidates or otherwise combines with the Company or any Restricted Subsidiary. Acquired Indebtedness shall be deemed to have been Incurred, with respect to clause (1) of the preceding sentence, on the date such Person becomes a Restricted Subsidiary, with respect to clause (2) of the preceding sentence, on the date of consummation of such acquisition of assets and, with respect to clause (3) of the preceding sentence, on the date of the relevant merger, consolidation or other combination.</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Assets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7" w:lineRule="auto"/>
        <w:tabs>
          <w:tab w:leader="none" w:pos="18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or assets (other than Indebtedness and Capital Stock) used or to be used by the Company or a Restricted Subsidiary or otherwise useful in a Similar Business (it being understood that capital expenditures on property or assets already used</w:t>
      </w:r>
    </w:p>
    <w:p>
      <w:pPr>
        <w:sectPr>
          <w:pgSz w:w="11900" w:h="16838" w:orient="portrait"/>
          <w:cols w:equalWidth="0" w:num="1">
            <w:col w:w="11240"/>
          </w:cols>
          <w:pgMar w:left="320" w:top="1440" w:right="339" w:bottom="1440" w:gutter="0" w:footer="0" w:header="0"/>
        </w:sectPr>
      </w:pPr>
    </w:p>
    <w:bookmarkStart w:id="10" w:name="page11"/>
    <w:bookmarkEnd w:id="10"/>
    <w:p>
      <w:pPr>
        <w:ind w:left="660" w:right="20"/>
        <w:spacing w:after="0" w:line="271" w:lineRule="auto"/>
        <w:rPr>
          <w:sz w:val="20"/>
          <w:szCs w:val="20"/>
          <w:color w:val="auto"/>
        </w:rPr>
      </w:pPr>
      <w:r>
        <w:rPr>
          <w:rFonts w:ascii="Times New Roman" w:cs="Times New Roman" w:eastAsia="Times New Roman" w:hAnsi="Times New Roman"/>
          <w:sz w:val="22"/>
          <w:szCs w:val="22"/>
          <w:color w:val="auto"/>
        </w:rPr>
        <w:t>in a Similar Business or to replace any property or assets that are the subject of such Asset Disposition shall be deemed an investment in Additional Assets);</w:t>
      </w:r>
    </w:p>
    <w:p>
      <w:pPr>
        <w:spacing w:after="0" w:line="158" w:lineRule="exact"/>
        <w:rPr>
          <w:sz w:val="20"/>
          <w:szCs w:val="20"/>
          <w:color w:val="auto"/>
        </w:rPr>
      </w:pPr>
    </w:p>
    <w:p>
      <w:pPr>
        <w:ind w:left="660" w:firstLine="644"/>
        <w:spacing w:after="0" w:line="284" w:lineRule="auto"/>
        <w:tabs>
          <w:tab w:leader="none" w:pos="1792"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 a Person that is engaged in a Similar Business and becomes a Restricted Subsidiary as a result of the acquisition of such Capital Stock by the Company or a Restricted Subsidiary; or</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Stock constituting a minority interest in any Person that at such time is a Restricted Subsidiary engaged in a Similar Business.</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 has the meaning assigned to it in the preamble to this Indenture. Any Additional Notes shall be treated with the Notes as a single class and shall vote on all matters with the Notes. If any Additional Notes are not fungible with the Initial Notes for U.S. federal income tax purposes, such Additional Notes will have a separate CUSIP, ISIN or Common Code (as applicable) so that they are distinguishable from the Initial Notes.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means any Authentication Agent, Registrar, co-registrar, Transfer Agent, Principal Paying Agent or additional Paying Agent.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Agreed Security Principles</w:t>
      </w:r>
      <w:r>
        <w:rPr>
          <w:rFonts w:ascii="Times New Roman" w:cs="Times New Roman" w:eastAsia="Times New Roman" w:hAnsi="Times New Roman"/>
          <w:sz w:val="22"/>
          <w:szCs w:val="22"/>
          <w:color w:val="auto"/>
        </w:rPr>
        <w:t>” means the agreed security principles as set out in Exhibit E hereto as in effect on the Issue Date, as applied reasonably and in good faith by the Company.</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Premium</w:t>
      </w:r>
      <w:r>
        <w:rPr>
          <w:rFonts w:ascii="Times New Roman" w:cs="Times New Roman" w:eastAsia="Times New Roman" w:hAnsi="Times New Roman"/>
          <w:sz w:val="22"/>
          <w:szCs w:val="22"/>
          <w:color w:val="auto"/>
        </w:rPr>
        <w:t>” means, with respect to any Note on any redemption date, the greater of:</w:t>
      </w:r>
    </w:p>
    <w:p>
      <w:pPr>
        <w:spacing w:after="0" w:line="220" w:lineRule="exact"/>
        <w:rPr>
          <w:sz w:val="20"/>
          <w:szCs w:val="20"/>
          <w:color w:val="auto"/>
        </w:rPr>
      </w:pPr>
    </w:p>
    <w:p>
      <w:pPr>
        <w:ind w:left="1780" w:hanging="476"/>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of the principal amount of such Note; 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excess of:</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6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present value at such redemption date of (x) the redemption price of such Note at June 1, 2028 (such redemption price being set forth in Section 3.07(a)), plus (y) all required interest payments due on such Note through June 1, 2028(excluding accrued but unpaid interest), computed using a discount rate equal to the Treasury Rate as of such redemption date plus 50 basis points; over</w:t>
      </w:r>
    </w:p>
    <w:p>
      <w:pPr>
        <w:spacing w:after="0" w:line="17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outstanding principal amount of such Note;</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22"/>
          <w:szCs w:val="22"/>
          <w:color w:val="auto"/>
        </w:rPr>
        <w:t>as calculated by the Company or on behalf of the Company by such Person as the Company shall designate and notified to the Trustee and the Paying Agent not less than two Business Days prior to the applicable redemption date. For the avoidance of doubt, calculation of the Applicable Premium shall not be an obligation or duty of the Trustee or any Agent.</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Procedures</w:t>
      </w:r>
      <w:r>
        <w:rPr>
          <w:rFonts w:ascii="Times New Roman" w:cs="Times New Roman" w:eastAsia="Times New Roman" w:hAnsi="Times New Roman"/>
          <w:sz w:val="22"/>
          <w:szCs w:val="22"/>
          <w:color w:val="auto"/>
        </w:rPr>
        <w:t>” means, with respect to any transfer or exchange of or for beneficial interests in any Global Note, the rules and procedures of the Depositary with respect thereto that apply to such transfer or exchange.</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w:t>
      </w:r>
      <w:r>
        <w:rPr>
          <w:rFonts w:ascii="Times New Roman" w:cs="Times New Roman" w:eastAsia="Times New Roman" w:hAnsi="Times New Roman"/>
          <w:sz w:val="22"/>
          <w:szCs w:val="22"/>
          <w:color w:val="auto"/>
        </w:rPr>
        <w:t>” means any direct or indirect sale, lease (other than an operating lease entered into in the ordinary course of business), transfer, issuance or other disposition, or a series of related sales, leases (other than operating leases entered into in the ordinary course of business), transfers, issuances or dispositions that are part of a common plan, of shares of Capital Stock of a Subsidiary (other than directors’ qualifying shares), property or other assets (each referred to for the purposes of this definition as a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xml:space="preserve">”) by the Company or any of its Restricted Subsidiaries, including any disposition by means of a merger, consolidation or similar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sale, conveyance or other disposition of all or substantially all the assets of the Company and its Restricted Subsidiaries taken as a whole will be governed by Section 4.15 or Article V and not by Section 4.10. Notwithstanding the preceding provisions of this definition, the following items shall not be deemed to be Asset Dispositions:</w:t>
      </w:r>
    </w:p>
    <w:p>
      <w:pPr>
        <w:spacing w:after="0" w:line="199" w:lineRule="exact"/>
        <w:rPr>
          <w:sz w:val="20"/>
          <w:szCs w:val="20"/>
          <w:color w:val="auto"/>
        </w:rPr>
      </w:pPr>
    </w:p>
    <w:p>
      <w:pPr>
        <w:ind w:left="660" w:firstLine="644"/>
        <w:spacing w:after="0" w:line="271" w:lineRule="auto"/>
        <w:tabs>
          <w:tab w:leader="none" w:pos="18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by a Restricted Subsidiary to the Company or by the Company or a Restricted Subsidiary to a Restricted Subsidiary;</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cash, Cash Equivalents, Temporary Cash Investments or Investment Grade Securities;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201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performing, sub-performing or charged-off accounts, loans, receivables, mortgages, debentures, claims or other similar assets or instruments or portfolios thereof or inventory or other assets, in each case, in the ordinary course of business, including into a trust in favor of third parties or otherwise;</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84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disposition of obsolete, surplus or worn out equipment, or equipment or other property that is no longer useful in the conduct of the business of the Company and its Restricted Subsidiaries;</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permitted under Section 5.01(a) or a transaction that constitutes a Change of Control;</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309" w:lineRule="auto"/>
        <w:tabs>
          <w:tab w:leader="none" w:pos="181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issuance of Capital Stock by a Restricted Subsidiary to the Company or to another Restricted Subsidiary or as part of or pursuant to an equity incentive or compensation plan approved by the Board of Directors of the Company;</w:t>
      </w:r>
    </w:p>
    <w:p>
      <w:pPr>
        <w:spacing w:after="0" w:line="120" w:lineRule="exact"/>
        <w:rPr>
          <w:rFonts w:ascii="Times New Roman" w:cs="Times New Roman" w:eastAsia="Times New Roman" w:hAnsi="Times New Roman"/>
          <w:sz w:val="21"/>
          <w:szCs w:val="21"/>
          <w:color w:val="auto"/>
        </w:rPr>
      </w:pPr>
    </w:p>
    <w:p>
      <w:pPr>
        <w:ind w:left="660" w:firstLine="644"/>
        <w:spacing w:after="0" w:line="271" w:lineRule="auto"/>
        <w:tabs>
          <w:tab w:leader="none" w:pos="180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dispositions of Capital Stock, properties or assets in a single transaction or series of related transactions with a fair market value (as determined in</w:t>
      </w:r>
    </w:p>
    <w:p>
      <w:pPr>
        <w:sectPr>
          <w:pgSz w:w="11900" w:h="16838" w:orient="portrait"/>
          <w:cols w:equalWidth="0" w:num="1">
            <w:col w:w="11240"/>
          </w:cols>
          <w:pgMar w:left="320" w:top="1422"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22"/>
          <w:szCs w:val="22"/>
          <w:color w:val="auto"/>
        </w:rPr>
        <w:t>good faith by the Company) of less than the greater of (i) $80.0 million and (ii) 1.5% of Total Assets;</w:t>
      </w:r>
    </w:p>
    <w:p>
      <w:pPr>
        <w:spacing w:after="0" w:line="220" w:lineRule="exact"/>
        <w:rPr>
          <w:sz w:val="20"/>
          <w:szCs w:val="20"/>
          <w:color w:val="auto"/>
        </w:rPr>
      </w:pPr>
    </w:p>
    <w:p>
      <w:pPr>
        <w:jc w:val="both"/>
        <w:ind w:left="660" w:firstLine="644"/>
        <w:spacing w:after="0" w:line="281" w:lineRule="auto"/>
        <w:tabs>
          <w:tab w:leader="none" w:pos="179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Restricted Payment that is permitted to be made, and is made, under Section 4.07 and the making of any Permitted Payment or Permitted Investment or, solely for purposes of Section 4.10(a)(3), asset sales, in respect of which (and only to the extent that) the proceeds of which are used to make such Restricted Payments or Permitted Investments;</w:t>
      </w:r>
    </w:p>
    <w:p>
      <w:pPr>
        <w:spacing w:after="0" w:line="150"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in connection with Permitted Liens;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20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157" w:lineRule="exact"/>
        <w:rPr>
          <w:rFonts w:ascii="Times New Roman" w:cs="Times New Roman" w:eastAsia="Times New Roman" w:hAnsi="Times New Roman"/>
          <w:sz w:val="22"/>
          <w:szCs w:val="22"/>
          <w:color w:val="auto"/>
        </w:rPr>
      </w:pPr>
    </w:p>
    <w:p>
      <w:pPr>
        <w:ind w:left="660" w:right="20" w:firstLine="644"/>
        <w:spacing w:after="0" w:line="284" w:lineRule="auto"/>
        <w:tabs>
          <w:tab w:leader="none" w:pos="188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licensing or sub-licensing of intellectual property or other general intangibles and licenses, sub-licenses, leases or subleases of other property, in each case, in the ordinary course of business;</w:t>
      </w:r>
    </w:p>
    <w:p>
      <w:pPr>
        <w:spacing w:after="0" w:line="14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foreclosure, condemnation or any similar action with respect to any property or other assets;</w:t>
      </w:r>
    </w:p>
    <w:p>
      <w:pPr>
        <w:spacing w:after="0" w:line="219"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of Capital Stock, Indebtedness or other securities of an Unrestricted Subsidiary;</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94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surrender or waiver of contract rights or the settlement, release or surrender of contract, tort or other claims of any kind;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20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disposition with respect to property built, owned or otherwise acquired by the Company or any Restricted Subsidiary pursuant to customary sale and leaseback transactions, finance leases, asset securitizations and other similar financings permitted by this Indenture where the fair market value of the assets disposed of, when taken together with all other dispositions made pursuant to this clause (15), does not exceed the greater of (i) $80.0 million and (ii) 1.5% of Total Assets.</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Associate</w:t>
      </w:r>
      <w:r>
        <w:rPr>
          <w:rFonts w:ascii="Times New Roman" w:cs="Times New Roman" w:eastAsia="Times New Roman" w:hAnsi="Times New Roman"/>
          <w:sz w:val="22"/>
          <w:szCs w:val="22"/>
          <w:color w:val="auto"/>
        </w:rPr>
        <w:t>” means (1) any Person engaged in a Similar Business of which the Company or its Restricted Subsidiaries are the legal and beneficial owners of between 20% and 50% of all outstanding Voting Stock and (2) any joint venture entered into by the Company or any Restricted Subsidiary.</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 in relation to Ireland, the European Union (Bank Recovery and Resolution) Regulations 2015 (S.I. No.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289/2015);</w:t>
      </w:r>
    </w:p>
    <w:p>
      <w:pPr>
        <w:sectPr>
          <w:pgSz w:w="11900" w:h="16838" w:orient="portrait"/>
          <w:cols w:equalWidth="0" w:num="1">
            <w:col w:w="11240"/>
          </w:cols>
          <w:pgMar w:left="320" w:top="1422" w:right="339" w:bottom="1440" w:gutter="0" w:footer="0" w:header="0"/>
        </w:sectPr>
      </w:pPr>
    </w:p>
    <w:bookmarkStart w:id="13" w:name="page14"/>
    <w:bookmarkEnd w:id="13"/>
    <w:p>
      <w:pPr>
        <w:ind w:firstLine="1304"/>
        <w:spacing w:after="0" w:line="271" w:lineRule="auto"/>
        <w:tabs>
          <w:tab w:leader="none" w:pos="16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Germany, (i) the Recovery and Resolution Act (Sanierungsund Abwicklungsgesetz, “SAG”) which implements the Directive 2014/59/EU and (ii) the Regulation (EU) No 806/2014;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60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the UK or an EEA Member Country (other than Ireland or Germany) which has implemented, or which at any time implements, Article 55 BRRD, the relevant implementing law or regulation as described in the EU Bail-In Legislation Schedule from time to time.</w:t>
      </w:r>
    </w:p>
    <w:p>
      <w:pPr>
        <w:spacing w:after="0" w:line="16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Law</w:t>
      </w:r>
      <w:r>
        <w:rPr>
          <w:rFonts w:ascii="Times New Roman" w:cs="Times New Roman" w:eastAsia="Times New Roman" w:hAnsi="Times New Roman"/>
          <w:sz w:val="22"/>
          <w:szCs w:val="22"/>
          <w:color w:val="auto"/>
        </w:rPr>
        <w:t>” means (a) the UK Insolvency Act 1986 or any other bankruptcy, insolvency, liquidation or similar laws of general application, (b) the U.S. Bankruptcy Code of 1978 or any similar U.S. federal or state law for the relief of debtors, (c) in relation to the Company or any Guarantor incorporated in Luxembourg, any law relating to bankruptcy (</w:t>
      </w:r>
      <w:r>
        <w:rPr>
          <w:rFonts w:ascii="Times New Roman" w:cs="Times New Roman" w:eastAsia="Times New Roman" w:hAnsi="Times New Roman"/>
          <w:sz w:val="22"/>
          <w:szCs w:val="22"/>
          <w:i w:val="1"/>
          <w:iCs w:val="1"/>
          <w:color w:val="auto"/>
        </w:rPr>
        <w:t>faillite</w:t>
      </w:r>
      <w:r>
        <w:rPr>
          <w:rFonts w:ascii="Times New Roman" w:cs="Times New Roman" w:eastAsia="Times New Roman" w:hAnsi="Times New Roman"/>
          <w:sz w:val="22"/>
          <w:szCs w:val="22"/>
          <w:color w:val="auto"/>
        </w:rPr>
        <w:t>), controlled management (</w:t>
      </w:r>
      <w:r>
        <w:rPr>
          <w:rFonts w:ascii="Times New Roman" w:cs="Times New Roman" w:eastAsia="Times New Roman" w:hAnsi="Times New Roman"/>
          <w:sz w:val="22"/>
          <w:szCs w:val="22"/>
          <w:i w:val="1"/>
          <w:iCs w:val="1"/>
          <w:color w:val="auto"/>
        </w:rPr>
        <w:t>gestion contrôlée</w:t>
      </w:r>
      <w:r>
        <w:rPr>
          <w:rFonts w:ascii="Times New Roman" w:cs="Times New Roman" w:eastAsia="Times New Roman" w:hAnsi="Times New Roman"/>
          <w:sz w:val="22"/>
          <w:szCs w:val="22"/>
          <w:color w:val="auto"/>
        </w:rPr>
        <w:t>), suspension of payments (</w:t>
      </w:r>
      <w:r>
        <w:rPr>
          <w:rFonts w:ascii="Times New Roman" w:cs="Times New Roman" w:eastAsia="Times New Roman" w:hAnsi="Times New Roman"/>
          <w:sz w:val="22"/>
          <w:szCs w:val="22"/>
          <w:i w:val="1"/>
          <w:iCs w:val="1"/>
          <w:color w:val="auto"/>
        </w:rPr>
        <w:t>sursis de paiement</w:t>
      </w:r>
      <w:r>
        <w:rPr>
          <w:rFonts w:ascii="Times New Roman" w:cs="Times New Roman" w:eastAsia="Times New Roman" w:hAnsi="Times New Roman"/>
          <w:sz w:val="22"/>
          <w:szCs w:val="22"/>
          <w:color w:val="auto"/>
        </w:rPr>
        <w:t>), arrangement with creditors (</w:t>
      </w:r>
      <w:r>
        <w:rPr>
          <w:rFonts w:ascii="Times New Roman" w:cs="Times New Roman" w:eastAsia="Times New Roman" w:hAnsi="Times New Roman"/>
          <w:sz w:val="22"/>
          <w:szCs w:val="22"/>
          <w:i w:val="1"/>
          <w:iCs w:val="1"/>
          <w:color w:val="auto"/>
        </w:rPr>
        <w:t>concordat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préventif de la faillite</w:t>
      </w:r>
      <w:r>
        <w:rPr>
          <w:rFonts w:ascii="Times New Roman" w:cs="Times New Roman" w:eastAsia="Times New Roman" w:hAnsi="Times New Roman"/>
          <w:sz w:val="22"/>
          <w:szCs w:val="22"/>
          <w:color w:val="auto"/>
        </w:rPr>
        <w:t>) and voluntary or judicial liquidation (</w:t>
      </w:r>
      <w:r>
        <w:rPr>
          <w:rFonts w:ascii="Times New Roman" w:cs="Times New Roman" w:eastAsia="Times New Roman" w:hAnsi="Times New Roman"/>
          <w:sz w:val="22"/>
          <w:szCs w:val="22"/>
          <w:i w:val="1"/>
          <w:iCs w:val="1"/>
          <w:color w:val="auto"/>
        </w:rPr>
        <w:t>liquidation volontaire ou judiciaire</w:t>
      </w:r>
      <w:r>
        <w:rPr>
          <w:rFonts w:ascii="Times New Roman" w:cs="Times New Roman" w:eastAsia="Times New Roman" w:hAnsi="Times New Roman"/>
          <w:sz w:val="22"/>
          <w:szCs w:val="22"/>
          <w:color w:val="auto"/>
        </w:rPr>
        <w:t>) proceedings or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appointment of a </w:t>
      </w:r>
      <w:r>
        <w:rPr>
          <w:rFonts w:ascii="Times New Roman" w:cs="Times New Roman" w:eastAsia="Times New Roman" w:hAnsi="Times New Roman"/>
          <w:sz w:val="22"/>
          <w:szCs w:val="22"/>
          <w:i w:val="1"/>
          <w:iCs w:val="1"/>
          <w:color w:val="auto"/>
        </w:rPr>
        <w:t>commissaire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juge-commissaire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liquidateur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curateur</w:t>
      </w:r>
      <w:r>
        <w:rPr>
          <w:rFonts w:ascii="Times New Roman" w:cs="Times New Roman" w:eastAsia="Times New Roman" w:hAnsi="Times New Roman"/>
          <w:sz w:val="22"/>
          <w:szCs w:val="22"/>
          <w:color w:val="auto"/>
        </w:rPr>
        <w:t xml:space="preserve"> or similar officer and (d) in relation to any Guarantor incorporated in Ireland or otherwise subject to the Companies Act 2014 (as amended) of Ireland (the “</w:t>
      </w:r>
      <w:r>
        <w:rPr>
          <w:rFonts w:ascii="Times New Roman" w:cs="Times New Roman" w:eastAsia="Times New Roman" w:hAnsi="Times New Roman"/>
          <w:sz w:val="22"/>
          <w:szCs w:val="22"/>
          <w:u w:val="single" w:color="auto"/>
          <w:color w:val="auto"/>
        </w:rPr>
        <w:t>Irish Companies Act</w:t>
      </w:r>
      <w:r>
        <w:rPr>
          <w:rFonts w:ascii="Times New Roman" w:cs="Times New Roman" w:eastAsia="Times New Roman" w:hAnsi="Times New Roman"/>
          <w:sz w:val="22"/>
          <w:szCs w:val="22"/>
          <w:color w:val="auto"/>
        </w:rPr>
        <w:t>”), Parts 10, 11 or 12 of the Irish Companies Act or any other bankruptcy, insolvency, examinership, liquidation or similar laws of general application.</w:t>
      </w:r>
    </w:p>
    <w:p>
      <w:pPr>
        <w:spacing w:after="0" w:line="199"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w:t>
      </w:r>
    </w:p>
    <w:p>
      <w:pPr>
        <w:spacing w:after="0" w:line="3" w:lineRule="exact"/>
        <w:rPr>
          <w:sz w:val="20"/>
          <w:szCs w:val="20"/>
          <w:color w:val="auto"/>
        </w:rPr>
      </w:pPr>
    </w:p>
    <w:p>
      <w:pPr>
        <w:jc w:val="both"/>
        <w:ind w:firstLine="8"/>
        <w:spacing w:after="0" w:line="247" w:lineRule="auto"/>
        <w:tabs>
          <w:tab w:leader="none" w:pos="33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other Person, the board or any duly authorized committee of such Person serving a similar function. Whenever any provision of this Indenture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w:t>
      </w:r>
    </w:p>
    <w:p>
      <w:pPr>
        <w:spacing w:after="0" w:line="186"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BRRD</w:t>
      </w:r>
      <w:r>
        <w:rPr>
          <w:rFonts w:ascii="Times New Roman" w:cs="Times New Roman" w:eastAsia="Times New Roman" w:hAnsi="Times New Roman"/>
          <w:sz w:val="22"/>
          <w:szCs w:val="22"/>
          <w:color w:val="auto"/>
        </w:rPr>
        <w:t>” means Directive 2014/59/EU establishing a framework for the recovery and resolution of credit institutions and investment firms.</w:t>
      </w:r>
    </w:p>
    <w:p>
      <w:pPr>
        <w:spacing w:after="0" w:line="17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BRRD Liability</w:t>
      </w:r>
      <w:r>
        <w:rPr>
          <w:rFonts w:ascii="Times New Roman" w:cs="Times New Roman" w:eastAsia="Times New Roman" w:hAnsi="Times New Roman"/>
          <w:sz w:val="22"/>
          <w:szCs w:val="22"/>
          <w:color w:val="auto"/>
        </w:rPr>
        <w:t>” means a liability in respect of which the relevant Write- down and Conversion Powers in UK Bail-in Legislation or EU Bail-in Legislation, as applicable, may be exercised.</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each day that is not a Saturday, Sunday or other day on which banking institutions in London, United Kingdom, New York, New York, United States or Luxembourg are authorized or required by law to close.</w:t>
      </w:r>
    </w:p>
    <w:p>
      <w:pPr>
        <w:spacing w:after="0" w:line="15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Stock</w:t>
      </w:r>
      <w:r>
        <w:rPr>
          <w:rFonts w:ascii="Times New Roman" w:cs="Times New Roman" w:eastAsia="Times New Roman" w:hAnsi="Times New Roman"/>
          <w:sz w:val="22"/>
          <w:szCs w:val="22"/>
          <w:color w:val="auto"/>
        </w:rPr>
        <w:t>” of any Person means any and all shares of, rights to purchase, warrants or options for, or other equivalents of or partnership or other interests in (however</w:t>
      </w:r>
    </w:p>
    <w:p>
      <w:pPr>
        <w:sectPr>
          <w:pgSz w:w="11900" w:h="16838" w:orient="portrait"/>
          <w:cols w:equalWidth="0" w:num="1">
            <w:col w:w="11240"/>
          </w:cols>
          <w:pgMar w:left="320" w:top="14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1"/>
          <w:szCs w:val="21"/>
          <w:color w:val="auto"/>
        </w:rPr>
        <w:t>designated), equity of such Person, including any Preferred Stock, but excluding any debt securities convertible into such equity.</w:t>
      </w:r>
    </w:p>
    <w:p>
      <w:pPr>
        <w:spacing w:after="0" w:line="23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Capitalized Lease Obligation</w:t>
      </w:r>
      <w:r>
        <w:rPr>
          <w:rFonts w:ascii="Times New Roman" w:cs="Times New Roman" w:eastAsia="Times New Roman" w:hAnsi="Times New Roman"/>
          <w:sz w:val="22"/>
          <w:szCs w:val="22"/>
          <w:color w:val="auto"/>
        </w:rPr>
        <w:t xml:space="preserve">” means an obligation that is required to be classified and accounted for as a capitalized lease for financial reporting purposes on the basis of GAAP;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any obligations in respect of operating leases as determined under GAAP as in effect on the Issue Date shall not be deemed Capitalized Lease Obligations.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Equivalents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2" w:lineRule="auto"/>
        <w:tabs>
          <w:tab w:leader="none" w:pos="178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government of the United States, Canada, the United Kingdom, a member state of the European Union, Switzerland or Norway or, in each case, any agency or instrumentality thereof (provided that the full faith and credit of such country or such member state is pledged in support thereof), having maturities of not more than two years from the date of acquisition;</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201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eurodollar time deposits, overnight bank deposits or bankers’ acceptances (in each case, including any such deposits made pursuant to any sinking fund established by the Company or any Restricted Subsidiary) having maturities of not more than one year from the date of acquisition thereof issued by any lender party to a Credit Facility or by any bank or trust company (a) whose commercial paper is rated at least “A-1” or the equivalent thereof by S&amp;P or at least “P 1” or the equivalent thereof by Moody’s or at least “F-1” or the equivalent thereof by Fitch (or, if at the time neither is issuing comparable ratings, then a comparable rating of another Nationally Recognized Statistical Rating Organization) or (b) (in the event that the bank or trust company does not have commercial paper which is rated) having combined capital and surplus in excess of $250 million;</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180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30 days for underlying securities of the types described in clauses (1) and (2) entered into with any bank meeting the qualifications specified in clause (2) above;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80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commercial paper rated at the time of acquisition thereof at least “A-2” or the equivalent thereof by S&amp;P or “P-2” or the equivalent thereof by Moody’s or “F-2” or the equivalent thereof by Fitch or carrying an equivalent rating by a Nationally Recognized Statistical Rating Organization, if both of the two named rating agencies cease publishing ratings of investments or, if no rating is available in respect of the commercial paper, the issuer of which has an equivalent rating in respect of its long-term debt, and in any case maturing within one year after the date of acquisition thereof;</w:t>
      </w:r>
    </w:p>
    <w:p>
      <w:pPr>
        <w:sectPr>
          <w:pgSz w:w="11900" w:h="16838" w:orient="portrait"/>
          <w:cols w:equalWidth="0" w:num="1">
            <w:col w:w="11240"/>
          </w:cols>
          <w:pgMar w:left="320" w:top="1422" w:right="339" w:bottom="1440" w:gutter="0" w:footer="0" w:header="0"/>
        </w:sectPr>
      </w:pPr>
    </w:p>
    <w:bookmarkStart w:id="15" w:name="page16"/>
    <w:bookmarkEnd w:id="15"/>
    <w:p>
      <w:pPr>
        <w:jc w:val="both"/>
        <w:ind w:left="660" w:firstLine="644"/>
        <w:spacing w:after="0" w:line="253" w:lineRule="auto"/>
        <w:tabs>
          <w:tab w:leader="none" w:pos="184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readily marketable direct obligations issued by any state of the United States of America, any province of Canada, the United Kingdom, any member state of the European Union, Switzerland or Norway or any political subdivision thereof, in each case, having one of the two highest rating categories obtainable from either Moody’s or S&amp;P or Fitch (or, if at the time neither is issuing comparable ratings, then a comparable rating of another Nationally Recognized Statistical Rating Organization) with maturities of not more than two years from the date of acquisition;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or Preferred Stock issued by Persons with a rating of “BBB–” or higher from S&amp;P, “BBB-” or higher from Fitch or “Baa3” or higher from Moody’s (or, if at the time neither is issuing comparable ratings, then a comparable rating of another Nationally Recognized Statistical Rating Organization) with maturities of twelve months or less from the date of acquisition;</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bills of exchange issued in the United States, Canada, the United Kingdom, a member state of the European Union, Switzerland, Norway or Japan eligible for rediscount at the relevant central bank and accepted by a bank (or any dematerialized equivalent); and</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79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interests in any investment company, money market or enhanced high yield fund which invests 95% or more of its assets in instruments of the type specified in clauses (1) through (7) above.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jc w:val="both"/>
        <w:ind w:left="660" w:firstLine="644"/>
        <w:spacing w:after="0" w:line="250" w:lineRule="auto"/>
        <w:tabs>
          <w:tab w:leader="none" w:pos="192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becomes aware (by way of a report or any other filing pursuant to Section 13(d) of the Exchange Act, proxy, vote, written notice or otherwise) that any “person” or “group” of related persons (as such terms are used in Sections 13(d) and 14(d) of the Exchange Act as in effect on the Issue Date), is or becomes the “beneficial owner” (as defined in Rules 13d-3 and 13d-5 under the Exchange Act as in effect on the Issue Date), directly or indirectly, of more than 50% of the total voting power of the Voting Stock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purposes of this clause, any holding company whose only asset is the Capital Stock of the Company will not itself be considered a “person” or “group”; or</w:t>
      </w:r>
    </w:p>
    <w:p>
      <w:pPr>
        <w:spacing w:after="0" w:line="180"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79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lease, transfer, conveyance or other disposition (other than by way of merger, consolidation or other business combination transaction), in one or a series of related transactions, of all or substantially all the assets of the Company and its Restricted Subsidiaries taken as a whole to a Person, other than a Restricted Subsidiary.</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Clearstream</w:t>
      </w:r>
      <w:r>
        <w:rPr>
          <w:rFonts w:ascii="Times New Roman" w:cs="Times New Roman" w:eastAsia="Times New Roman" w:hAnsi="Times New Roman"/>
          <w:sz w:val="22"/>
          <w:szCs w:val="22"/>
          <w:color w:val="auto"/>
        </w:rPr>
        <w:t xml:space="preserve">” means Clearstream Banking, </w:t>
      </w:r>
      <w:r>
        <w:rPr>
          <w:rFonts w:ascii="Times New Roman" w:cs="Times New Roman" w:eastAsia="Times New Roman" w:hAnsi="Times New Roman"/>
          <w:sz w:val="22"/>
          <w:szCs w:val="22"/>
          <w:i w:val="1"/>
          <w:iCs w:val="1"/>
          <w:color w:val="auto"/>
        </w:rPr>
        <w:t>société anonyme</w:t>
      </w:r>
      <w:r>
        <w:rPr>
          <w:rFonts w:ascii="Times New Roman" w:cs="Times New Roman" w:eastAsia="Times New Roman" w:hAnsi="Times New Roman"/>
          <w:sz w:val="22"/>
          <w:szCs w:val="22"/>
          <w:color w:val="auto"/>
        </w:rPr>
        <w:t>, or any successor securities clearing agency.</w:t>
      </w:r>
    </w:p>
    <w:p>
      <w:pPr>
        <w:spacing w:after="0" w:line="22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Clearing System Business Day</w:t>
      </w:r>
      <w:r>
        <w:rPr>
          <w:rFonts w:ascii="Times New Roman" w:cs="Times New Roman" w:eastAsia="Times New Roman" w:hAnsi="Times New Roman"/>
          <w:sz w:val="22"/>
          <w:szCs w:val="22"/>
          <w:color w:val="auto"/>
        </w:rPr>
        <w:t>” means a day on which each clearing system for which the Global Note is being held is open for business, or to the extent Definitive Registered</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71" w:lineRule="auto"/>
        <w:rPr>
          <w:sz w:val="20"/>
          <w:szCs w:val="20"/>
          <w:color w:val="auto"/>
        </w:rPr>
      </w:pPr>
      <w:r>
        <w:rPr>
          <w:rFonts w:ascii="Times New Roman" w:cs="Times New Roman" w:eastAsia="Times New Roman" w:hAnsi="Times New Roman"/>
          <w:sz w:val="22"/>
          <w:szCs w:val="22"/>
          <w:color w:val="auto"/>
        </w:rPr>
        <w:t>Notes (as defined below) have been issued, to the holders of record of the Notes on the immediately preceding May 15 and November 15.</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U.S. Internal Revenue Code of 1986, as amended.</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all property and assets, whether now owned or hereafter acquired, in which Liens are, from time to time, purported to be granted to secure the Notes and the Note Guarantees pursuant to the Security Documents.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Hedging Agreements</w:t>
      </w:r>
      <w:r>
        <w:rPr>
          <w:rFonts w:ascii="Times New Roman" w:cs="Times New Roman" w:eastAsia="Times New Roman" w:hAnsi="Times New Roman"/>
          <w:sz w:val="22"/>
          <w:szCs w:val="22"/>
          <w:color w:val="auto"/>
        </w:rPr>
        <w:t>” means, in respect of a Person, any commodity purchase contract, commodity futures or forward contract, commodities option contract or other similar contract (including commodities derivative agreements or arrangements), to which such Person is a party or a beneficiary.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the meaning assigned to it in the preamble to this Indenture, together with its successors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9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for any period means, without duplication, the Consolidated Net Income for such period, plus the following to the extent deducted in calculating such Consolidated Net Income:</w:t>
      </w:r>
    </w:p>
    <w:p>
      <w:pPr>
        <w:spacing w:after="0" w:line="158" w:lineRule="exact"/>
        <w:rPr>
          <w:sz w:val="20"/>
          <w:szCs w:val="20"/>
          <w:color w:val="auto"/>
        </w:rPr>
      </w:pPr>
    </w:p>
    <w:p>
      <w:pPr>
        <w:ind w:left="660" w:firstLine="644"/>
        <w:spacing w:after="0" w:line="271" w:lineRule="auto"/>
        <w:tabs>
          <w:tab w:leader="none" w:pos="186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Fixed Charges plus, to the extent not already included or added back, any costs associated with Hedging Obligations or derivatives;</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Income Taxes;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depreciation expense;</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amortization expense, including any amortization of portfolio assets;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92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expenses, charges or other costs related to any Equity Offering, Investment, acquisition (including amounts paid in connection with the acquisition or retention of one or more individuals comprising part of a management team retained to manage the acquired business; provided that such payments are made in connection with such acquisition and are consistent with the customary practice in the industry at the time of such acquisition), disposition, recapitalization or the Incurrence of any Indebtedness permitted by this Indenture (in each case whether or not successful) (including any such fees, expenses or charges related to the Transactions), in each case, as determined in good faith by an Officer of the Company;</w:t>
      </w:r>
    </w:p>
    <w:p>
      <w:pPr>
        <w:spacing w:after="0" w:line="193"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minority interest expense (whether paid or not) consisting of income attributable to minority equity interests of third parties in such period or any prior period or any net earnings, income or share of profit of any Associates, associated company or undertaking;</w:t>
      </w:r>
    </w:p>
    <w:p>
      <w:pPr>
        <w:sectPr>
          <w:pgSz w:w="11900" w:h="16838" w:orient="portrait"/>
          <w:cols w:equalWidth="0" w:num="1">
            <w:col w:w="11240"/>
          </w:cols>
          <w:pgMar w:left="320" w:top="1422" w:right="339" w:bottom="1440" w:gutter="0" w:footer="0" w:header="0"/>
        </w:sectPr>
      </w:pPr>
    </w:p>
    <w:bookmarkStart w:id="17" w:name="page18"/>
    <w:bookmarkEnd w:id="17"/>
    <w:p>
      <w:pPr>
        <w:jc w:val="both"/>
        <w:ind w:left="660" w:firstLine="644"/>
        <w:spacing w:after="0" w:line="256" w:lineRule="auto"/>
        <w:tabs>
          <w:tab w:leader="none" w:pos="182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non-cash charges, write-downs or items reducing Consolidated Net Income (excluding any such non-cash charge, write-down or item to the extent it represents an accrual of or reserve for cash charges in any future period) less other non-cash items of income increasing Consolidated Net Income (excluding any such non-cash item of income to the extent it represents a receipt of cash in any future period);</w:t>
      </w:r>
    </w:p>
    <w:p>
      <w:pPr>
        <w:spacing w:after="0" w:line="17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business interruption insurance received or that become receivable during such period to the extent the associated losses arising out of the event that resulted in the payment of such business interruption insurance were included in computing Consolidated Net Income;</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fees and related administrative expenses, provided, however, that any such amounts described in this clause (9), individually or collectively, shall not exceed 20% of the amount of Consolidated EBITDA for the relevant period (determined prior to giving effect to any such amounts that are added back);</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2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received or that become receivable with respect to expenses that are covered by indemnification provisions in any agreement entered into by such Person in connection with an acquisition to the extent such expenses were included in computing Consolidated Net Income;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1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 corresponding to any revaluation of portfolio assets, as determined in good faith by the Board of Directors or an Officer of the Company (to the extent not duplicated with any non-cash charges set forth in clause (7) hereof).</w:t>
      </w:r>
    </w:p>
    <w:p>
      <w:pPr>
        <w:spacing w:after="0" w:line="16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Notwithstanding the foregoing, the provision for taxes and the depreciation, amortization, non-cash items, charges and write-downs of a Restricted Subsidiary shall be added to Consolidated Net Income to compute Consolidated EBITDA only to the extent (and in the same proportion, including by reason of minority interests) that the net income (loss) of such Restricted Subsidiary was included in calculating Consolidated Net Income for the purposes of this definition.</w:t>
      </w:r>
    </w:p>
    <w:p>
      <w:pPr>
        <w:spacing w:after="0" w:line="176"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Income Taxes</w:t>
      </w:r>
      <w:r>
        <w:rPr>
          <w:rFonts w:ascii="Times New Roman" w:cs="Times New Roman" w:eastAsia="Times New Roman" w:hAnsi="Times New Roman"/>
          <w:sz w:val="21"/>
          <w:szCs w:val="21"/>
          <w:color w:val="auto"/>
        </w:rPr>
        <w:t>” means Taxes or other payments, including deferred Taxes, based on income, profits or capital (including without limitation withholding Taxes) and corporation Taxes and franchise Taxes of any of the Company and its Restricted Subsidiaries whether or not paid, estimated, accrued or required to be remitted to any Governmental Authority.</w:t>
      </w:r>
    </w:p>
    <w:p>
      <w:pPr>
        <w:spacing w:after="0" w:line="15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with respect to any Person for any period, without duplication, (1) interest payable (whether in cash or capitalized) on Financial Indebtedness of such Person and its Restricted Subsidiaries for such period, plus (i) any amortization of debt discount with respect to such Indebtedness and (ii) any commissions, discounts and other fees and charges owed with respect to letters of credit and bankers’ acceptance financing or bank guarantees, but, in each case, excluding any expense associated with Subordinated Shareholder Funding less (2) interest income for such period.</w:t>
      </w:r>
    </w:p>
    <w:p>
      <w:pPr>
        <w:sectPr>
          <w:pgSz w:w="11900" w:h="16838" w:orient="portrait"/>
          <w:cols w:equalWidth="0" w:num="1">
            <w:col w:w="11240"/>
          </w:cols>
          <w:pgMar w:left="320" w:top="1422" w:right="339" w:bottom="1440" w:gutter="0" w:footer="0" w:header="0"/>
        </w:sectPr>
      </w:pPr>
    </w:p>
    <w:bookmarkStart w:id="18" w:name="page19"/>
    <w:bookmarkEnd w:id="18"/>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for any period, the profit (loss) on ordinary activities after taxation of the Company and its Restricted Subsidiaries determined on a consolidated basis on the basis of GAAP; provided, however, that there will not be included in such Consolidated Net Income:</w:t>
      </w:r>
    </w:p>
    <w:p>
      <w:pPr>
        <w:spacing w:after="0" w:line="186" w:lineRule="exact"/>
        <w:rPr>
          <w:sz w:val="20"/>
          <w:szCs w:val="20"/>
          <w:color w:val="auto"/>
        </w:rPr>
      </w:pPr>
    </w:p>
    <w:p>
      <w:pPr>
        <w:jc w:val="both"/>
        <w:ind w:left="660" w:firstLine="644"/>
        <w:spacing w:after="0" w:line="248" w:lineRule="auto"/>
        <w:tabs>
          <w:tab w:leader="none" w:pos="178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limitations contained in clause (3) below, any net income (loss) of any Person if such Person is not a Restricted Subsidiary, except that the Company’s equity in the net income of any such Person for such period will be included in such Consolidated Net Income up to the aggregate amount of cash or Cash Equivalents (x) actually distributed by such Person during such period to the Company or a Restricted Subsidiary as a dividend or other distribution or return on investment or (y) solely for the purpose of determining the amount available for Restricted Payments under Section 4.07(a)(C)(i), that could have been distributed by such Person during such period to the Company or a Restricted Subsidiary as a dividend or other distribution or return on investment, as reasonably determined by an Officer of the Company (subject, in the case of a dividend or other distribution or return on investment to a Restricted Subsidiary, to the limitations contained in clause (2) below);</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48" w:lineRule="auto"/>
        <w:tabs>
          <w:tab w:leader="none" w:pos="17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for the purpose of determining the amount available for Restricted Payments under Section 4.07(a)(C) (i), any profit (loss) on ordinary activities after taxation of any Restricted Subsidiary (other than any Guarantor) if such Restricted Subsidiary is subject to restrictions, directly or indirectly, on the payment of dividends or the making of distributions by such Restricted Subsidiary, directly or indirectly, to the Company or a Guarantor by operation of the terms of such Restricted Subsidiary’s charter or any agreement, instrument, judgment, decree, order, statute or governmental rule or regulation applicable to such Restricted Subsidiary or its shareholders (other than (a) restrictions that have been waived or otherwise released, (b) restrictions pursuant to or permitted under the Senior Facilities Agreement, the Notes, the Existing Secured Notes, the Existing Unsecured Notes, the Indenture, the Existing Secured Notes Indentures and the Existing Unsecured Notes Indenture and (c) restrictions specified in Section 4.08(b)(11)(i)),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187" w:lineRule="exact"/>
        <w:rPr>
          <w:rFonts w:ascii="Times New Roman" w:cs="Times New Roman" w:eastAsia="Times New Roman" w:hAnsi="Times New Roman"/>
          <w:sz w:val="22"/>
          <w:szCs w:val="22"/>
          <w:color w:val="auto"/>
        </w:rPr>
      </w:pPr>
    </w:p>
    <w:p>
      <w:pPr>
        <w:jc w:val="both"/>
        <w:ind w:left="660" w:firstLine="644"/>
        <w:spacing w:after="0" w:line="252" w:lineRule="auto"/>
        <w:tabs>
          <w:tab w:leader="none" w:pos="183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gain (or loss) realized upon the sale or other disposition of any asset or disposed operations of the Company or any Restricted Subsidiaries (including pursuant to any sale/leaseback transaction) which is not sold or otherwise disposed of in the ordinary course of business (as determined in good faith by an Officer or the Board of Directors of the Company);</w:t>
      </w:r>
    </w:p>
    <w:p>
      <w:pPr>
        <w:sectPr>
          <w:pgSz w:w="11900" w:h="16838" w:orient="portrait"/>
          <w:cols w:equalWidth="0" w:num="1">
            <w:col w:w="11240"/>
          </w:cols>
          <w:pgMar w:left="320" w:top="1422" w:right="339" w:bottom="1440" w:gutter="0" w:footer="0" w:header="0"/>
        </w:sectPr>
      </w:pPr>
    </w:p>
    <w:bookmarkStart w:id="19" w:name="page20"/>
    <w:bookmarkEnd w:id="19"/>
    <w:p>
      <w:pPr>
        <w:jc w:val="both"/>
        <w:ind w:left="660" w:firstLine="644"/>
        <w:spacing w:after="0" w:line="257" w:lineRule="auto"/>
        <w:tabs>
          <w:tab w:leader="none" w:pos="181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extraordinary, exceptional, unusual or nonrecurring gain, loss or charge (as determined in good faith by the Company), or any charges or reserves in respect of any acquisition, integration, restructuring, redundancy or severance expense;</w:t>
      </w:r>
    </w:p>
    <w:p>
      <w:pPr>
        <w:spacing w:after="0" w:line="18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cumulative effect of a change in accounting principles;</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0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non-cash compensation charge or expense arising from any grant of stock, stock options or other equity based awards and any non-cash deemed finance charges in respect of any pension liabilities or other provisions;</w:t>
      </w:r>
    </w:p>
    <w:p>
      <w:pPr>
        <w:spacing w:after="0" w:line="157" w:lineRule="exact"/>
        <w:rPr>
          <w:rFonts w:ascii="Times New Roman" w:cs="Times New Roman" w:eastAsia="Times New Roman" w:hAnsi="Times New Roman"/>
          <w:sz w:val="22"/>
          <w:szCs w:val="22"/>
          <w:color w:val="auto"/>
        </w:rPr>
      </w:pPr>
    </w:p>
    <w:p>
      <w:pPr>
        <w:ind w:left="660" w:firstLine="644"/>
        <w:spacing w:after="0" w:line="295" w:lineRule="auto"/>
        <w:tabs>
          <w:tab w:leader="none" w:pos="181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deferred financing costs written off and premiums paid or other expenses incurred directly in connection with any early extinguishment of Indebtedness and any net gain (loss) from any write-off or forgiveness of Indebtedness;</w:t>
      </w:r>
    </w:p>
    <w:p>
      <w:pPr>
        <w:spacing w:after="0" w:line="148" w:lineRule="exact"/>
        <w:rPr>
          <w:rFonts w:ascii="Times New Roman" w:cs="Times New Roman" w:eastAsia="Times New Roman" w:hAnsi="Times New Roman"/>
          <w:sz w:val="21"/>
          <w:szCs w:val="21"/>
          <w:color w:val="auto"/>
        </w:rPr>
      </w:pPr>
    </w:p>
    <w:p>
      <w:pPr>
        <w:jc w:val="both"/>
        <w:ind w:left="660" w:firstLine="644"/>
        <w:spacing w:after="0" w:line="250" w:lineRule="auto"/>
        <w:tabs>
          <w:tab w:leader="none" w:pos="1963"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accounting effects including, but not limited to, adjustments to inventory, property and equipment, software and 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180"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goodwill or other intangible asset impairment charge or write-off; and</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20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impact of capitalized, accrued or accreting or pay-in-kind interest or principal on Subordinated Shareholder Funding.</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w:t>
      </w:r>
      <w:r>
        <w:rPr>
          <w:rFonts w:ascii="Times New Roman" w:cs="Times New Roman" w:eastAsia="Times New Roman" w:hAnsi="Times New Roman"/>
          <w:sz w:val="22"/>
          <w:szCs w:val="22"/>
          <w:color w:val="auto"/>
        </w:rPr>
        <w:t>” means the sum of the aggregate outstanding Financial Indebtedness of the Company and its Restricted Subsidiaries less cash and Cash Equivalents (other than cash or Cash Equivalents in an amount equal to amounts collected by the Company and its Restricted Subsidiaries on behalf of third-party clients and held by the Company and its Restricted Subsidiaries as of such date and cash and Cash Equivalents that constitute Trust Management Assets or are held on trust for a beneficiary which is not the Company or a Restricted Subsidiary) of the Company and its Restricted Subsidiaries as of the relevant date of calculation on a consolidated basis in accordance with GAAP.</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Leverage Ratio</w:t>
      </w:r>
      <w:r>
        <w:rPr>
          <w:rFonts w:ascii="Times New Roman" w:cs="Times New Roman" w:eastAsia="Times New Roman" w:hAnsi="Times New Roman"/>
          <w:sz w:val="22"/>
          <w:szCs w:val="22"/>
          <w:color w:val="auto"/>
        </w:rPr>
        <w:t xml:space="preserve">” means, as of any date of determination, the ratio of (x) Consolidated Net Leverage at such date to (y) the aggregate amount of Consolidated EBITDA for the period of the most recent four consecutive fiscal quarters ending prior to the date of such determination for which internal consolidated financial statements of the Company are available;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the purposes of calculating Consolidated EBITDA for such period, if, as of such date of determination:</w:t>
      </w:r>
    </w:p>
    <w:p>
      <w:pPr>
        <w:spacing w:after="0" w:line="179" w:lineRule="exact"/>
        <w:rPr>
          <w:sz w:val="20"/>
          <w:szCs w:val="20"/>
          <w:color w:val="auto"/>
        </w:rPr>
      </w:pPr>
    </w:p>
    <w:p>
      <w:pPr>
        <w:ind w:left="660" w:firstLine="644"/>
        <w:spacing w:after="0" w:line="295" w:lineRule="auto"/>
        <w:tabs>
          <w:tab w:leader="none" w:pos="1803"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beginning of such period the Company or any Restricted Subsidiary has disposed of any company, any business, or any group of assets constituting an operating unit of a business (any such disposition, a “</w:t>
      </w:r>
      <w:r>
        <w:rPr>
          <w:rFonts w:ascii="Times New Roman" w:cs="Times New Roman" w:eastAsia="Times New Roman" w:hAnsi="Times New Roman"/>
          <w:sz w:val="21"/>
          <w:szCs w:val="21"/>
          <w:u w:val="single" w:color="auto"/>
          <w:color w:val="auto"/>
        </w:rPr>
        <w:t>Sale</w:t>
      </w:r>
      <w:r>
        <w:rPr>
          <w:rFonts w:ascii="Times New Roman" w:cs="Times New Roman" w:eastAsia="Times New Roman" w:hAnsi="Times New Roman"/>
          <w:sz w:val="21"/>
          <w:szCs w:val="21"/>
          <w:color w:val="auto"/>
        </w:rPr>
        <w:t>”) or if the</w:t>
      </w:r>
    </w:p>
    <w:p>
      <w:pPr>
        <w:sectPr>
          <w:pgSz w:w="11900" w:h="16838" w:orient="portrait"/>
          <w:cols w:equalWidth="0" w:num="1">
            <w:col w:w="11240"/>
          </w:cols>
          <w:pgMar w:left="320" w:top="1422" w:right="339" w:bottom="1440" w:gutter="0" w:footer="0" w:header="0"/>
        </w:sectPr>
      </w:pPr>
    </w:p>
    <w:bookmarkStart w:id="20" w:name="page21"/>
    <w:bookmarkEnd w:id="20"/>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 xml:space="preserve">transaction giving rise to the need to calculate the Consolidated Net Leverage Ratio is such a Sale, Consolidated EBITDA for such period will be reduced by an amount equal to the Consolidated EBITDA (if positive) attributable to the assets which are the subject of such Sale for such period or increased by an amount equal to the Consolidated EBITDA (if negative) attributable thereto for such period;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if any such Sale constitutes “discontinued operations” in accordance with the then applicable GAAP, Consolidated Net Income shall be reduced by an amount equal to the Consolidated Net Income (if positive) attributable to such operations for such period or increased by an amount equal to the Consolidated Net Income (if negative) attributable thereto for such period;</w:t>
      </w:r>
    </w:p>
    <w:p>
      <w:pPr>
        <w:spacing w:after="0" w:line="180" w:lineRule="exact"/>
        <w:rPr>
          <w:sz w:val="20"/>
          <w:szCs w:val="20"/>
          <w:color w:val="auto"/>
        </w:rPr>
      </w:pPr>
    </w:p>
    <w:p>
      <w:pPr>
        <w:jc w:val="both"/>
        <w:ind w:left="660" w:firstLine="644"/>
        <w:spacing w:after="0" w:line="251" w:lineRule="auto"/>
        <w:tabs>
          <w:tab w:leader="none" w:pos="181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beginning of such period, the Company or any Restricted Subsidiary (by merger or otherwise) has made an Investment in any Person that thereby becomes a Restricted Subsidiary, or otherwise has acquired any company, any business, or any group of assets constituting an operating unit of a business (any such Investment or acquisition, a “</w:t>
      </w:r>
      <w:r>
        <w:rPr>
          <w:rFonts w:ascii="Times New Roman" w:cs="Times New Roman" w:eastAsia="Times New Roman" w:hAnsi="Times New Roman"/>
          <w:sz w:val="22"/>
          <w:szCs w:val="22"/>
          <w:u w:val="single" w:color="auto"/>
          <w:color w:val="auto"/>
        </w:rPr>
        <w:t>Purchase</w:t>
      </w:r>
      <w:r>
        <w:rPr>
          <w:rFonts w:ascii="Times New Roman" w:cs="Times New Roman" w:eastAsia="Times New Roman" w:hAnsi="Times New Roman"/>
          <w:sz w:val="22"/>
          <w:szCs w:val="22"/>
          <w:color w:val="auto"/>
        </w:rPr>
        <w:t xml:space="preserve">”), including any such Purchase occurring in connection with a transaction causing a calculation to be made hereunder, Consolidated EBITDA for such period will be calculated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thereto as if such Purchase occurred on the first day of such period; and</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68" w:lineRule="auto"/>
        <w:tabs>
          <w:tab w:leader="none" w:pos="190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since the beginning of such period, any Person (that became a Restricted Subsidiary or was merged or otherwise combined with or into the Company or any Restricted Subsidiary since the beginning of such period) will have made any Sale or any Purchase that would have required an adjustment pursuant to clause (1) or (2) above if made by the Company or a Restricted Subsidiary since the beginning of such period, Consolidated EBITDA for such period will be calculated after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thereto as if such Sale or Purchase occurred on the first day of such period.</w:t>
      </w:r>
    </w:p>
    <w:p>
      <w:pPr>
        <w:spacing w:after="0" w:line="16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For the purposes of this definition and the definitions of Consolidated EBITDA, Consolidated Income Taxes, Consolidated Interest Expense, Consolidated Net Income and Fixed Charge Coverage Ratio for the Company and its Restricted Subsidiaries, (a) calculations will be as determined in good faith by a responsible financial or accounting officer of the Company (including in respect of synergies and cost savings) and (b) in determining the amount of Indebtedness outstanding on any date of determination, pro forma effect shall be given to any Incurrence, repayment, repurchase, defeasance or other acquisition, retirement or discharge of Indebtedness as if such transaction had occurred on the first day of the relevant period. For the avoidance of doubt, in determining Consolidated Net Leverage Ratio, no cash or Cash Equivalents shall be included that are the proceeds of Indebtedness in respect of which the calculation of the Consolidated Net Leverage Ratio is to be made.</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Obligations</w:t>
      </w:r>
      <w:r>
        <w:rPr>
          <w:rFonts w:ascii="Times New Roman" w:cs="Times New Roman" w:eastAsia="Times New Roman" w:hAnsi="Times New Roman"/>
          <w:sz w:val="22"/>
          <w:szCs w:val="22"/>
          <w:color w:val="auto"/>
        </w:rPr>
        <w:t>” means, with respect to any Person, any obligation of such Person guaranteeing in any manner, whether directly or indirectly, any operating lease, dividend or other obligation that does not constitute Indebtedness (“</w:t>
      </w:r>
      <w:r>
        <w:rPr>
          <w:rFonts w:ascii="Times New Roman" w:cs="Times New Roman" w:eastAsia="Times New Roman" w:hAnsi="Times New Roman"/>
          <w:sz w:val="22"/>
          <w:szCs w:val="22"/>
          <w:u w:val="single" w:color="auto"/>
          <w:color w:val="auto"/>
        </w:rPr>
        <w:t>primary obligations</w:t>
      </w:r>
      <w:r>
        <w:rPr>
          <w:rFonts w:ascii="Times New Roman" w:cs="Times New Roman" w:eastAsia="Times New Roman" w:hAnsi="Times New Roman"/>
          <w:sz w:val="22"/>
          <w:szCs w:val="22"/>
          <w:color w:val="auto"/>
        </w:rPr>
        <w:t>”)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including any obligation of such Person, whether or not contingent:</w:t>
      </w:r>
    </w:p>
    <w:p>
      <w:pPr>
        <w:sectPr>
          <w:pgSz w:w="11900" w:h="16838" w:orient="portrait"/>
          <w:cols w:equalWidth="0" w:num="1">
            <w:col w:w="11240"/>
          </w:cols>
          <w:pgMar w:left="320" w:top="1422" w:right="339" w:bottom="1440" w:gutter="0" w:footer="0" w:header="0"/>
        </w:sectPr>
      </w:pPr>
    </w:p>
    <w:bookmarkStart w:id="21" w:name="page22"/>
    <w:bookmarkEnd w:id="21"/>
    <w:p>
      <w:pPr>
        <w:ind w:left="1780" w:hanging="476"/>
        <w:spacing w:after="0"/>
        <w:tabs>
          <w:tab w:leader="none" w:pos="17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any such primary obligation or any property constituting direct or indirect security therefor;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advance or supply funds:</w:t>
      </w:r>
    </w:p>
    <w:p>
      <w:pPr>
        <w:spacing w:after="0" w:line="219"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purchase or payment of any such primary obligation; or</w:t>
      </w:r>
    </w:p>
    <w:p>
      <w:pPr>
        <w:spacing w:after="0" w:line="233" w:lineRule="exact"/>
        <w:rPr>
          <w:rFonts w:ascii="Times New Roman" w:cs="Times New Roman" w:eastAsia="Times New Roman" w:hAnsi="Times New Roman"/>
          <w:sz w:val="22"/>
          <w:szCs w:val="22"/>
          <w:color w:val="auto"/>
        </w:rPr>
      </w:pPr>
    </w:p>
    <w:p>
      <w:pPr>
        <w:ind w:left="1300" w:firstLine="652"/>
        <w:spacing w:after="0" w:line="271" w:lineRule="auto"/>
        <w:tabs>
          <w:tab w:leader="none" w:pos="245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the working capital or equity capital of the primary obligor or otherwise to maintain the net worth or solvency of the primary obligor; 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97"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86"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Facility</w:t>
      </w:r>
      <w:r>
        <w:rPr>
          <w:rFonts w:ascii="Times New Roman" w:cs="Times New Roman" w:eastAsia="Times New Roman" w:hAnsi="Times New Roman"/>
          <w:sz w:val="22"/>
          <w:szCs w:val="22"/>
          <w:color w:val="auto"/>
        </w:rPr>
        <w:t>” means, with respect to the Company or any of its Subsidiaries, one or more debt facilities, indentures or other arrangements (including the Senior Facilities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from time to time (whether in whole or in part and whether or not with the original administrative agent and lenders or another administrative agent or agents or other banks or institutions and whether provided under the original Senior Facilities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21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Currency Agreement</w:t>
      </w:r>
      <w:r>
        <w:rPr>
          <w:rFonts w:ascii="Times New Roman" w:cs="Times New Roman" w:eastAsia="Times New Roman" w:hAnsi="Times New Roman"/>
          <w:sz w:val="22"/>
          <w:szCs w:val="22"/>
          <w:color w:val="auto"/>
        </w:rPr>
        <w:t>” means, in respect of a Person, any foreign exchange contract, currency swap agreement, currency futures contract, currency option contract, currency derivative or other similar agreement to which such Person is a party or beneficiary.</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which is, or after notice or passage of time or both would be, an Event of Default.</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Definitive Note</w:t>
      </w:r>
      <w:r>
        <w:rPr>
          <w:rFonts w:ascii="Times New Roman" w:cs="Times New Roman" w:eastAsia="Times New Roman" w:hAnsi="Times New Roman"/>
          <w:sz w:val="22"/>
          <w:szCs w:val="22"/>
          <w:color w:val="auto"/>
        </w:rPr>
        <w:t>” means a certificated Note registered in the name of the Holder thereof and issued in accordance with Section 2.06, substantially in the form of Exhibit A hereto,</w:t>
      </w:r>
    </w:p>
    <w:p>
      <w:pPr>
        <w:sectPr>
          <w:pgSz w:w="11900" w:h="16838" w:orient="portrait"/>
          <w:cols w:equalWidth="0" w:num="1">
            <w:col w:w="11240"/>
          </w:cols>
          <w:pgMar w:left="320" w:top="1422" w:right="339" w:bottom="1440" w:gutter="0" w:footer="0" w:header="0"/>
        </w:sectPr>
      </w:pPr>
    </w:p>
    <w:bookmarkStart w:id="22" w:name="page23"/>
    <w:bookmarkEnd w:id="2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except that such Note shall not bear the Global Note Legend or the “Schedule of Exchanges of Interests in the Global Note” attached thereto.</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Depositary</w:t>
      </w:r>
      <w:r>
        <w:rPr>
          <w:rFonts w:ascii="Times New Roman" w:cs="Times New Roman" w:eastAsia="Times New Roman" w:hAnsi="Times New Roman"/>
          <w:sz w:val="22"/>
          <w:szCs w:val="22"/>
          <w:color w:val="auto"/>
        </w:rPr>
        <w:t>” means, with respect to any Global Note, the Person specified in Section 2.03 as the Depositary with respect to such Global Note or any successor thereto appointed as Depositary hereunder and having become such pursuant to the applicable provision(s) of this Indenture.</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Non-Cash Consideration</w:t>
      </w:r>
      <w:r>
        <w:rPr>
          <w:rFonts w:ascii="Times New Roman" w:cs="Times New Roman" w:eastAsia="Times New Roman" w:hAnsi="Times New Roman"/>
          <w:sz w:val="22"/>
          <w:szCs w:val="22"/>
          <w:color w:val="auto"/>
        </w:rPr>
        <w:t>”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Cash Equivalents or Temporary Cash Investments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Section 4.10.</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Preference Shares</w:t>
      </w:r>
      <w:r>
        <w:rPr>
          <w:rFonts w:ascii="Times New Roman" w:cs="Times New Roman" w:eastAsia="Times New Roman" w:hAnsi="Times New Roman"/>
          <w:sz w:val="22"/>
          <w:szCs w:val="22"/>
          <w:color w:val="auto"/>
        </w:rPr>
        <w:t>” means, with respect to the Company or any Parent, Preferred Stock (other than Disqualified Stock) (a) that is issued for cash (other than to the Company or a Subsidiary of the Company or an employee stock ownership plan or trust established by the Company or any such Subsidiary for the benefit of their employees to the extent funded by the Company or such Subsidiary) and (b) that is designated as “Designated Preference Shares” pursuant to an Officer’s Certificate of the Company at or prior to the issuance thereof, the Net Cash Proceeds of which are excluded from the calculation set forth in Section 4.07(a)(C)(ii).</w:t>
      </w:r>
    </w:p>
    <w:p>
      <w:pPr>
        <w:spacing w:after="0" w:line="181" w:lineRule="exact"/>
        <w:rPr>
          <w:sz w:val="20"/>
          <w:szCs w:val="20"/>
          <w:color w:val="auto"/>
        </w:rPr>
      </w:pPr>
    </w:p>
    <w:p>
      <w:pPr>
        <w:jc w:val="both"/>
        <w:ind w:firstLine="1296"/>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Disinterested Director</w:t>
      </w:r>
      <w:r>
        <w:rPr>
          <w:rFonts w:ascii="Times New Roman" w:cs="Times New Roman" w:eastAsia="Times New Roman" w:hAnsi="Times New Roman"/>
          <w:sz w:val="21"/>
          <w:szCs w:val="21"/>
          <w:color w:val="auto"/>
        </w:rPr>
        <w:t>” means, with respect to any Affiliate Transaction, a member of the Board of Directors of the Company having no material direct or indirect financial interest in or with respect to such Affiliate Transaction. A member of the Board of Directors of the Company shall be deemed not to have such a financial interest solely by reason of such member’s holding Capital Stock of the Company or any Parent or any options, warrants or other rights in respect of such Capital Stock.</w:t>
      </w:r>
    </w:p>
    <w:p>
      <w:pPr>
        <w:spacing w:after="0" w:line="16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Stock</w:t>
      </w:r>
      <w:r>
        <w:rPr>
          <w:rFonts w:ascii="Times New Roman" w:cs="Times New Roman" w:eastAsia="Times New Roman" w:hAnsi="Times New Roman"/>
          <w:sz w:val="22"/>
          <w:szCs w:val="22"/>
          <w:color w:val="auto"/>
        </w:rPr>
        <w:t>” means, with respect to any Person, any Capital Stock of such Person which by its terms (or by the terms of any security into which it is convertible or for which it is exchangeable) or upon the happening of any event:</w:t>
      </w:r>
    </w:p>
    <w:p>
      <w:pPr>
        <w:spacing w:after="0" w:line="171" w:lineRule="exact"/>
        <w:rPr>
          <w:sz w:val="20"/>
          <w:szCs w:val="20"/>
          <w:color w:val="auto"/>
        </w:rPr>
      </w:pPr>
    </w:p>
    <w:p>
      <w:pPr>
        <w:ind w:left="660" w:firstLine="644"/>
        <w:spacing w:after="0" w:line="271" w:lineRule="auto"/>
        <w:tabs>
          <w:tab w:leader="none" w:pos="184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for cash or in exchange for Indebtedness pursuant to a sinking fund obligation or otherwise;</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88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convertible or exchangeable for Indebtedness or Disqualified Stock (excluding Capital Stock which is convertible or exchangeable solely at the option of the Company or a Restricted Subsidiary); or</w:t>
      </w:r>
    </w:p>
    <w:p>
      <w:pPr>
        <w:sectPr>
          <w:pgSz w:w="11900" w:h="16838" w:orient="portrait"/>
          <w:cols w:equalWidth="0" w:num="1">
            <w:col w:w="11240"/>
          </w:cols>
          <w:pgMar w:left="320" w:top="1422" w:right="339" w:bottom="1440" w:gutter="0" w:footer="0" w:header="0"/>
        </w:sectPr>
      </w:pPr>
    </w:p>
    <w:bookmarkStart w:id="23" w:name="page24"/>
    <w:bookmarkEnd w:id="23"/>
    <w:p>
      <w:pPr>
        <w:jc w:val="both"/>
        <w:ind w:left="660" w:right="20" w:firstLine="644"/>
        <w:spacing w:after="0" w:line="257" w:lineRule="auto"/>
        <w:tabs>
          <w:tab w:leader="none" w:pos="195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in each case on or prior to the earlier of (a) the Stated Maturity of the Notes or (b) the date on which there are no Notes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Company to repurchase such Capital Stock upon the occurrence of a change of control or asset sale (howsoever defined or referred to) shall not constitute Disqualified Stock if any such redemption or repurchase obligation is subject to compliance by the relevant Person with Section 4.07.</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“U.S. dollar,” “US$” or “$</w:t>
      </w:r>
      <w:r>
        <w:rPr>
          <w:rFonts w:ascii="Times New Roman" w:cs="Times New Roman" w:eastAsia="Times New Roman" w:hAnsi="Times New Roman"/>
          <w:sz w:val="22"/>
          <w:szCs w:val="22"/>
          <w:color w:val="auto"/>
        </w:rPr>
        <w:t>” means the lawful currency of the United States of America.</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with respect to any monetary amount in a currency other than U.S. dollar, at any time of determination thereof by the Company or the Trustee, the amount of U.S. dollar obtained by converting such currency other than U.S. dollar involved in such computation into U.S. dollar at the spot rate for the purchase of U.S. dollar with the applicable currency other than U.S. dollar as published in The Financial Times in the “Currency Rates” section (or, if The Financial Times is no longer published, or if such information is no longer available in The Financial Times, such source as may be selected in good faith by the Company) on the date of such determination.</w:t>
      </w:r>
    </w:p>
    <w:p>
      <w:pPr>
        <w:spacing w:after="0" w:line="18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means The Depository Trust Company, a limited-purpose trust company under New York Law, or any successor thereto.</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20"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Offering</w:t>
      </w:r>
      <w:r>
        <w:rPr>
          <w:rFonts w:ascii="Times New Roman" w:cs="Times New Roman" w:eastAsia="Times New Roman" w:hAnsi="Times New Roman"/>
          <w:sz w:val="21"/>
          <w:szCs w:val="21"/>
          <w:color w:val="auto"/>
        </w:rPr>
        <w:t>” means (x) a sale of Capital Stock of the Company (other than Disqualified Stock or Designated Preference Shares and other than an Excluded Contribution) other than offerings registered on Form S-8 (or any successor form) under the Securities Act or any similar offering in other jurisdictions, or (y) the sale of Capital Stock or other securities of the Parent, the proceeds of which are contributed to the equity (other than through the issuance of Disqualified Stock or Designated Preference Shares or through an Excluded Contribution) of the Company or any of its Restricted Subsidiaries.</w:t>
      </w:r>
    </w:p>
    <w:p>
      <w:pPr>
        <w:spacing w:after="0" w:line="16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ERC</w:t>
      </w:r>
      <w:r>
        <w:rPr>
          <w:rFonts w:ascii="Times New Roman" w:cs="Times New Roman" w:eastAsia="Times New Roman" w:hAnsi="Times New Roman"/>
          <w:sz w:val="22"/>
          <w:szCs w:val="22"/>
          <w:color w:val="auto"/>
        </w:rPr>
        <w:t>” means, for any date of calculation, the aggregate amount of estimated remaining collections projected to be received by the Company and its Restricted Subsidiaries from all Right to Collect Accounts and all performing, sub-performing or charged-off accounts, loans, receivables, mortgages, debentures or claims or other similar assets or instruments or portfolios thereof owned by the Company and its Restricted Subsidiaries (excluding, for the avoidance of doubt, any Trust Management Assets and any Right to Collect Accounts,</w:t>
      </w:r>
    </w:p>
    <w:p>
      <w:pPr>
        <w:sectPr>
          <w:pgSz w:w="11900" w:h="16838" w:orient="portrait"/>
          <w:cols w:equalWidth="0" w:num="1">
            <w:col w:w="11240"/>
          </w:cols>
          <w:pgMar w:left="320" w:top="1422" w:right="339" w:bottom="1440" w:gutter="0" w:footer="0" w:header="0"/>
        </w:sectPr>
      </w:pPr>
    </w:p>
    <w:bookmarkStart w:id="24" w:name="page25"/>
    <w:bookmarkEnd w:id="24"/>
    <w:p>
      <w:pPr>
        <w:jc w:val="both"/>
        <w:spacing w:after="0" w:line="275" w:lineRule="auto"/>
        <w:rPr>
          <w:sz w:val="20"/>
          <w:szCs w:val="20"/>
          <w:color w:val="auto"/>
        </w:rPr>
      </w:pPr>
      <w:r>
        <w:rPr>
          <w:rFonts w:ascii="Times New Roman" w:cs="Times New Roman" w:eastAsia="Times New Roman" w:hAnsi="Times New Roman"/>
          <w:sz w:val="21"/>
          <w:szCs w:val="21"/>
          <w:color w:val="auto"/>
        </w:rPr>
        <w:t>performing, sub-performing or charged-off accounts, cash and bank accounts or other similar assets or instruments which are (or will be) held on trust for a third party which is not the Company or any Restricted Subsidiary) during the period of 84 months, as calculated by the Portfolio ERC Model, as of the last day of the month most recently ended prior to the date of calculation.</w:t>
      </w:r>
    </w:p>
    <w:p>
      <w:pPr>
        <w:spacing w:after="0" w:line="16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Escrowed Proceeds</w:t>
      </w:r>
      <w:r>
        <w:rPr>
          <w:rFonts w:ascii="Times New Roman" w:cs="Times New Roman" w:eastAsia="Times New Roman" w:hAnsi="Times New Roman"/>
          <w:sz w:val="21"/>
          <w:szCs w:val="21"/>
          <w:color w:val="auto"/>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spacing w:after="0" w:line="16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document described as such and published and amended by the Loan Market Association (or any successor person) on its website from time to time.</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Euroclear</w:t>
      </w:r>
      <w:r>
        <w:rPr>
          <w:rFonts w:ascii="Times New Roman" w:cs="Times New Roman" w:eastAsia="Times New Roman" w:hAnsi="Times New Roman"/>
          <w:sz w:val="22"/>
          <w:szCs w:val="22"/>
          <w:color w:val="auto"/>
        </w:rPr>
        <w:t>” means Euroclear Bank SA/NV or any successor securities clearing agency.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Luxembourg Stock Exchange.</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U.S. Securities Exchange Act of 1934, as amended, and the rules and regulations of the SEC promulgated thereunder, as amended.</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Contribution</w:t>
      </w:r>
      <w:r>
        <w:rPr>
          <w:rFonts w:ascii="Times New Roman" w:cs="Times New Roman" w:eastAsia="Times New Roman" w:hAnsi="Times New Roman"/>
          <w:sz w:val="22"/>
          <w:szCs w:val="22"/>
          <w:color w:val="auto"/>
        </w:rPr>
        <w:t>” means Net Cash Proceeds or property or assets received by the Company as capital contributions to the equity (other than through the issuance of Disqualified Stock or Designated Preference Shares) of the Company after the Issue Date or from the issuance or sale (other than to a Restricted Subsidiary or an employee stock ownership plan or trust established by the Company or any Subsidiary of the Company for the benefit of its employees to the extent funded by the Company or any Restricted Subsidiary) of Capital Stock (other than Disqualified Stock or Designated Preference Shares) of the Company, in each case, to the extent designated as an Excluded Contribution pursuant to an Officer’s Certificate of the Company.</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Fixed Rate Notes</w:t>
      </w:r>
      <w:r>
        <w:rPr>
          <w:rFonts w:ascii="Times New Roman" w:cs="Times New Roman" w:eastAsia="Times New Roman" w:hAnsi="Times New Roman"/>
          <w:sz w:val="22"/>
          <w:szCs w:val="22"/>
          <w:color w:val="auto"/>
        </w:rPr>
        <w:t>” means the £250.0 million aggregate principal amount of 4.250% senior secured notes due 2028 issued by the Company pursuant to the Existing 2028 Encore Fixed Rate Notes Indenture that remain outstanding.</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Fixed Rate Notes Indenture</w:t>
      </w:r>
      <w:r>
        <w:rPr>
          <w:rFonts w:ascii="Times New Roman" w:cs="Times New Roman" w:eastAsia="Times New Roman" w:hAnsi="Times New Roman"/>
          <w:sz w:val="22"/>
          <w:szCs w:val="22"/>
          <w:color w:val="auto"/>
        </w:rPr>
        <w:t>” means the indenture, dated June 1, 2021, between the Company, GLAS Trust Company LLC, as trustee, principal paying agent and transfer agent, GLAS Trust Company LLC, as registrar, Truist Bank, as security agent, and the guarantors parties thereto, as amended, supplemented or modified from time to time.</w:t>
      </w:r>
    </w:p>
    <w:p>
      <w:pPr>
        <w:sectPr>
          <w:pgSz w:w="11900" w:h="16838" w:orient="portrait"/>
          <w:cols w:equalWidth="0" w:num="1">
            <w:col w:w="11240"/>
          </w:cols>
          <w:pgMar w:left="320" w:top="1422" w:right="339" w:bottom="1440" w:gutter="0" w:footer="0" w:header="0"/>
        </w:sectPr>
      </w:pPr>
    </w:p>
    <w:bookmarkStart w:id="25" w:name="page26"/>
    <w:bookmarkEnd w:id="25"/>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Floating Rate Notes</w:t>
      </w:r>
      <w:r>
        <w:rPr>
          <w:rFonts w:ascii="Times New Roman" w:cs="Times New Roman" w:eastAsia="Times New Roman" w:hAnsi="Times New Roman"/>
          <w:sz w:val="22"/>
          <w:szCs w:val="22"/>
          <w:color w:val="auto"/>
        </w:rPr>
        <w:t>” means the €415.0 million aggregate principal amount of senior secured notes due 2028 issued by the Company pursuant to the Existing 2028 Encore Floating Rate Notes Indenture that remain outstanding.</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2028 Encore Floating Rate Notes Indenture</w:t>
      </w:r>
      <w:r>
        <w:rPr>
          <w:rFonts w:ascii="Times New Roman" w:cs="Times New Roman" w:eastAsia="Times New Roman" w:hAnsi="Times New Roman"/>
          <w:sz w:val="22"/>
          <w:szCs w:val="22"/>
          <w:color w:val="auto"/>
        </w:rPr>
        <w:t>” means the indenture, dated December 21, 2020, between the Company, Citibank, N.A., London Branch, as trustee, principal paying agent, calculation agent and transfer agent, Citigroup Global Markets Europe AG, as registrar, Truist Bank, as security agent, and the guarantors parties thereto, as amended, supplemented or modified from time to time.</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2029 Encore Convertible Notes</w:t>
      </w:r>
      <w:r>
        <w:rPr>
          <w:rFonts w:ascii="Times New Roman" w:cs="Times New Roman" w:eastAsia="Times New Roman" w:hAnsi="Times New Roman"/>
          <w:sz w:val="22"/>
          <w:szCs w:val="22"/>
          <w:color w:val="auto"/>
        </w:rPr>
        <w:t>” means the $230.0 million aggregate principal amount of 4.00% convertible senior notes due 2029 issued by the Company pursuant to the Existing 2029 Encore Convertible Notes Indenture that remain outstanding.</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2029 Encore Convertible Notes Indenture</w:t>
      </w:r>
      <w:r>
        <w:rPr>
          <w:rFonts w:ascii="Times New Roman" w:cs="Times New Roman" w:eastAsia="Times New Roman" w:hAnsi="Times New Roman"/>
          <w:sz w:val="22"/>
          <w:szCs w:val="22"/>
          <w:color w:val="auto"/>
        </w:rPr>
        <w:t>” means the indenture dated March 3, 2023, as amended, supplemented or modified from time to time, between the Company and Truist Bank as successor trustee.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2029 Encore Fixed Rate Notes</w:t>
      </w:r>
      <w:r>
        <w:rPr>
          <w:rFonts w:ascii="Times New Roman" w:cs="Times New Roman" w:eastAsia="Times New Roman" w:hAnsi="Times New Roman"/>
          <w:sz w:val="22"/>
          <w:szCs w:val="22"/>
          <w:color w:val="auto"/>
        </w:rPr>
        <w:t>” means the $500.0 million aggregate principal amount of 9.250% senior secured notes due 2029 issued by the Company pursuant to the Existing 2029 Encore Fixed Rate Notes Indenture that remain outstanding.</w:t>
      </w:r>
    </w:p>
    <w:p>
      <w:pPr>
        <w:spacing w:after="0" w:line="16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2029 Encore Fixed Rate Notes Indenture</w:t>
      </w:r>
      <w:r>
        <w:rPr>
          <w:rFonts w:ascii="Times New Roman" w:cs="Times New Roman" w:eastAsia="Times New Roman" w:hAnsi="Times New Roman"/>
          <w:sz w:val="22"/>
          <w:szCs w:val="22"/>
          <w:color w:val="auto"/>
        </w:rPr>
        <w:t>” means the indenture, dated March 20, 2024, between the Company, GLAS Trust Company LLC, as trustee, principal paying agent and transfer agent, GLAS Trust Company LLC, as registrar, Truist Bank, as security agent, and the guarantors parties thereto, as amended, supplemented or modified from time to time.</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2030 Encore Fixed Rate Notes</w:t>
      </w:r>
      <w:r>
        <w:rPr>
          <w:rFonts w:ascii="Times New Roman" w:cs="Times New Roman" w:eastAsia="Times New Roman" w:hAnsi="Times New Roman"/>
          <w:sz w:val="22"/>
          <w:szCs w:val="22"/>
          <w:color w:val="auto"/>
        </w:rPr>
        <w:t>” means the $500.0 million aggregate principal amount of 8.500% senior secured notes due 2030 issued by the Company pursuant to the Existing 2030 Encore Fixed Rate Notes Indenture that remain outstanding.</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2030 Encore Fixed Rate Notes Indenture</w:t>
      </w:r>
      <w:r>
        <w:rPr>
          <w:rFonts w:ascii="Times New Roman" w:cs="Times New Roman" w:eastAsia="Times New Roman" w:hAnsi="Times New Roman"/>
          <w:sz w:val="22"/>
          <w:szCs w:val="22"/>
          <w:color w:val="auto"/>
        </w:rPr>
        <w:t>” means the indenture, dated May 21, 2024, between the Company, GLAS Trust Company LLC, as trustee, principal paying agent and transfer agent, GLAS Trust Company LLC, as registrar, Truist Bank, as security agent, and the guarantors parties thereto, as amended, supplemented or modified from time to time.</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2031 Encore Fixed Rate Notes</w:t>
      </w:r>
      <w:r>
        <w:rPr>
          <w:rFonts w:ascii="Times New Roman" w:cs="Times New Roman" w:eastAsia="Times New Roman" w:hAnsi="Times New Roman"/>
          <w:sz w:val="22"/>
          <w:szCs w:val="22"/>
          <w:color w:val="auto"/>
        </w:rPr>
        <w:t>” means the $500.0 million aggregate principal amount of 6.625% senior secured notes due 2031 issued by the Company pursuant to the Existing 2031 Encore Fixed Rate Notes Indenture that remain outstanding.</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2031 Encore Fixed Rate Notes Indenture</w:t>
      </w:r>
      <w:r>
        <w:rPr>
          <w:rFonts w:ascii="Times New Roman" w:cs="Times New Roman" w:eastAsia="Times New Roman" w:hAnsi="Times New Roman"/>
          <w:sz w:val="22"/>
          <w:szCs w:val="22"/>
          <w:color w:val="auto"/>
        </w:rPr>
        <w:t>” means the indenture, dated October 1, 2025, between the Company, GLAS Trust Company LLC, as trustee, principal paying agent and transfer agent, GLAS Trust Company LLC, as registrar, Truist Bank, as security agent, and the guarantors parties thereto, as amended, supplemented or modified from time to time.</w:t>
      </w:r>
    </w:p>
    <w:p>
      <w:pPr>
        <w:sectPr>
          <w:pgSz w:w="11900" w:h="16838" w:orient="portrait"/>
          <w:cols w:equalWidth="0" w:num="1">
            <w:col w:w="11240"/>
          </w:cols>
          <w:pgMar w:left="320" w:top="1422" w:right="339" w:bottom="1440" w:gutter="0" w:footer="0" w:header="0"/>
        </w:sectPr>
      </w:pPr>
    </w:p>
    <w:bookmarkStart w:id="26" w:name="page27"/>
    <w:bookmarkEnd w:id="26"/>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Secured Notes</w:t>
      </w:r>
      <w:r>
        <w:rPr>
          <w:rFonts w:ascii="Times New Roman" w:cs="Times New Roman" w:eastAsia="Times New Roman" w:hAnsi="Times New Roman"/>
          <w:sz w:val="22"/>
          <w:szCs w:val="22"/>
          <w:color w:val="auto"/>
        </w:rPr>
        <w:t>” means the Existing 2028 Encore Fixed Rate Notes, the Existing 2028 Encore Floating Rate Notes, the Existing 2029 Encore Fixed Rate Notes, the Existing 2030 Encore Fixed Rate Notes and the Existing 2031 Encore Fixed Rate Notes.</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Secured Notes Indentures</w:t>
      </w:r>
      <w:r>
        <w:rPr>
          <w:rFonts w:ascii="Times New Roman" w:cs="Times New Roman" w:eastAsia="Times New Roman" w:hAnsi="Times New Roman"/>
          <w:sz w:val="22"/>
          <w:szCs w:val="22"/>
          <w:color w:val="auto"/>
        </w:rPr>
        <w:t>” means the Existing 2028 Encore Fixed Rate Notes Indenture, the Existing 2028 Encore Floating Rate Notes Indenture, the Existing 2029 Encore Fixed Rate Notes Indenture, the Existing 2030 Encore Fixed Rate Notes Indenture and the Existing 2031 Encore Fixed Rate Notes Indenture.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Unsecured Notes</w:t>
      </w:r>
      <w:r>
        <w:rPr>
          <w:rFonts w:ascii="Times New Roman" w:cs="Times New Roman" w:eastAsia="Times New Roman" w:hAnsi="Times New Roman"/>
          <w:sz w:val="22"/>
          <w:szCs w:val="22"/>
          <w:color w:val="auto"/>
        </w:rPr>
        <w:t>” means the Existing 2029 Encore Convertible Notes.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Unsecured Notes Indenture</w:t>
      </w:r>
      <w:r>
        <w:rPr>
          <w:rFonts w:ascii="Times New Roman" w:cs="Times New Roman" w:eastAsia="Times New Roman" w:hAnsi="Times New Roman"/>
          <w:sz w:val="22"/>
          <w:szCs w:val="22"/>
          <w:color w:val="auto"/>
        </w:rPr>
        <w:t>” means the Existing 2029 Encore Convertible Notes Indenture.</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except as otherwise specified herein, may be conclusively established by means of an Officer’s Certificate or a resolution of the Board of Directors of the Company setting out such fair market value as determined by such Officer or such Board of Directors in good faith.</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Indebtedness</w:t>
      </w:r>
      <w:r>
        <w:rPr>
          <w:rFonts w:ascii="Times New Roman" w:cs="Times New Roman" w:eastAsia="Times New Roman" w:hAnsi="Times New Roman"/>
          <w:sz w:val="22"/>
          <w:szCs w:val="22"/>
          <w:color w:val="auto"/>
        </w:rPr>
        <w:t>” means any Indebtedness described under clauses (1), (2), (4), (5), (6) and (7) of the definition of “Indebtedness.”</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Fitch</w:t>
      </w:r>
      <w:r>
        <w:rPr>
          <w:rFonts w:ascii="Times New Roman" w:cs="Times New Roman" w:eastAsia="Times New Roman" w:hAnsi="Times New Roman"/>
          <w:sz w:val="22"/>
          <w:szCs w:val="22"/>
          <w:color w:val="auto"/>
        </w:rPr>
        <w:t>” means Fitch Ratings Inc., or any of its successors or assigns that is a Nationally Recognized Statistical Rating Organization.</w:t>
      </w:r>
    </w:p>
    <w:p>
      <w:pPr>
        <w:spacing w:after="0" w:line="14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means, with respect to any Person on any determination date, the ratio of Consolidated EBITDA of such Person for the most recently completed four consecutive fiscal quarters ending immediately prior to such determination date for which internal consolidated financial statements are available to the Fixed Charges of such Person and its Restricted Subsidiaries for such four consecutive fiscal quarters. In the event that the Company or any Restricted Subsidiary Incurs, assumes, Guarantees, redeems, defeases, retires or extinguishes any Indebtedness (other than, in the case of redemption, defeasance, retirement or extinguishment,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w:t>
      </w:r>
      <w:r>
        <w:rPr>
          <w:rFonts w:ascii="Times New Roman" w:cs="Times New Roman" w:eastAsia="Times New Roman" w:hAnsi="Times New Roman"/>
          <w:sz w:val="22"/>
          <w:szCs w:val="22"/>
          <w:u w:val="single" w:color="auto"/>
          <w:color w:val="auto"/>
        </w:rPr>
        <w:t>Fixed Charge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Coverage Ratio Calculation Date</w:t>
      </w:r>
      <w:r>
        <w:rPr>
          <w:rFonts w:ascii="Times New Roman" w:cs="Times New Roman" w:eastAsia="Times New Roman" w:hAnsi="Times New Roman"/>
          <w:sz w:val="22"/>
          <w:szCs w:val="22"/>
          <w:color w:val="auto"/>
        </w:rPr>
        <w:t xml:space="preserv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calculation of Fixed Charges shall not give effect to (i) any Indebtedness incurred on the Fixed Charge Coverage Ratio Calculation Date pursuant to the provisions described in Section 4.09(b) or (ii) the discharge on the Fixed Charge Coverage Ratio Calculation Date of any Indebtedness to the extent that such discharge results from the proceeds incurred pursuant to the provisions described in Section 4.09(b).</w:t>
      </w:r>
    </w:p>
    <w:p>
      <w:pPr>
        <w:sectPr>
          <w:pgSz w:w="11900" w:h="16838" w:orient="portrait"/>
          <w:cols w:equalWidth="0" w:num="1">
            <w:col w:w="11240"/>
          </w:cols>
          <w:pgMar w:left="320" w:top="1422" w:right="339" w:bottom="1440" w:gutter="0" w:footer="0" w:header="0"/>
        </w:sectPr>
      </w:pPr>
    </w:p>
    <w:bookmarkStart w:id="27" w:name="page28"/>
    <w:bookmarkEnd w:id="27"/>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For purposes of making the computation referred to above, any Investment, acquisitions, dispositions, mergers, consolidations and disposed or discontinued operations that have been made by the Company or any of its Restricted Subsidiaries during the four-quarter reference period or subsequent to such reference period and on or prior to or simultaneously with the Fixed Charge Coverage Ratio Calculation Date shall be calculated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any operation that would have required adjustment pursuant to this definition, then the Fixed Charge Coverage Ratio shall be calculated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thereto for such period as if such Investment, acquisition, disposition, merger, consolidation or disposed or discontinued operation had occurred at the beginning of the applicable four-quarter period.</w:t>
      </w:r>
    </w:p>
    <w:p>
      <w:pPr>
        <w:spacing w:after="0" w:line="18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For purposes of this definition, whenever pro forma effect is to be given to a transaction,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calculations shall be made in good faith by a responsible financial or chief accounting officer of the Company (including synergies and cost savings). If any Indebtedness bears a floating rate of interest and is being given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Charges</w:t>
      </w:r>
      <w:r>
        <w:rPr>
          <w:rFonts w:ascii="Times New Roman" w:cs="Times New Roman" w:eastAsia="Times New Roman" w:hAnsi="Times New Roman"/>
          <w:sz w:val="22"/>
          <w:szCs w:val="22"/>
          <w:color w:val="auto"/>
        </w:rPr>
        <w:t>” means, with respect to any Person for any period, the sum, without duplication, of:</w:t>
      </w:r>
    </w:p>
    <w:p>
      <w:pPr>
        <w:spacing w:after="0" w:line="220" w:lineRule="exact"/>
        <w:rPr>
          <w:sz w:val="20"/>
          <w:szCs w:val="20"/>
          <w:color w:val="auto"/>
        </w:rPr>
      </w:pPr>
    </w:p>
    <w:p>
      <w:pPr>
        <w:ind w:left="1780" w:hanging="476"/>
        <w:spacing w:after="0"/>
        <w:tabs>
          <w:tab w:leader="none" w:pos="17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Interest Expense of such Person for such period;</w:t>
      </w:r>
    </w:p>
    <w:p>
      <w:pPr>
        <w:spacing w:after="0" w:line="219" w:lineRule="exact"/>
        <w:rPr>
          <w:rFonts w:ascii="Times New Roman" w:cs="Times New Roman" w:eastAsia="Times New Roman" w:hAnsi="Times New Roman"/>
          <w:sz w:val="22"/>
          <w:szCs w:val="22"/>
          <w:color w:val="auto"/>
        </w:rPr>
      </w:pPr>
    </w:p>
    <w:p>
      <w:pPr>
        <w:ind w:left="660" w:firstLine="644"/>
        <w:spacing w:after="0" w:line="271" w:lineRule="auto"/>
        <w:tabs>
          <w:tab w:leader="none" w:pos="181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non-cash dividends or other distributions payable (excluding items eliminated in consolidation) on any series of Preferred Stock during such period;</w:t>
      </w:r>
    </w:p>
    <w:p>
      <w:pPr>
        <w:spacing w:after="0" w:line="157" w:lineRule="exact"/>
        <w:rPr>
          <w:rFonts w:ascii="Times New Roman" w:cs="Times New Roman" w:eastAsia="Times New Roman" w:hAnsi="Times New Roman"/>
          <w:sz w:val="22"/>
          <w:szCs w:val="22"/>
          <w:color w:val="auto"/>
        </w:rPr>
      </w:pPr>
    </w:p>
    <w:p>
      <w:pPr>
        <w:ind w:left="660" w:firstLine="644"/>
        <w:spacing w:after="0" w:line="284" w:lineRule="auto"/>
        <w:tabs>
          <w:tab w:leader="none" w:pos="181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cash and non-cash dividends or other distributions payable (excluding items eliminated in consolidation) on any series of Disqualified Stock during this period; and</w:t>
      </w:r>
    </w:p>
    <w:p>
      <w:pPr>
        <w:sectPr>
          <w:pgSz w:w="11900" w:h="16838" w:orient="portrait"/>
          <w:cols w:equalWidth="0" w:num="1">
            <w:col w:w="11240"/>
          </w:cols>
          <w:pgMar w:left="320" w:top="1422" w:right="339" w:bottom="1440" w:gutter="0" w:footer="0" w:header="0"/>
        </w:sectPr>
      </w:pPr>
    </w:p>
    <w:bookmarkStart w:id="28" w:name="page29"/>
    <w:bookmarkEnd w:id="28"/>
    <w:p>
      <w:pPr>
        <w:spacing w:after="0" w:line="104" w:lineRule="exact"/>
        <w:rPr>
          <w:sz w:val="20"/>
          <w:szCs w:val="20"/>
          <w:color w:val="auto"/>
        </w:rPr>
      </w:pPr>
    </w:p>
    <w:p>
      <w:pPr>
        <w:jc w:val="both"/>
        <w:ind w:left="660" w:firstLine="644"/>
        <w:spacing w:after="0" w:line="295" w:lineRule="auto"/>
        <w:tabs>
          <w:tab w:leader="none" w:pos="184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expense on Indebtedness of another person that is guaranteed by such Person or its Restricted Subsidiaries or secured by a Lien on assets of such Person or its Restricted Subsidiaries, but only to the extent such guarantee or Lien is called upon, determined on a consolidated basis in accordance with GAAP.</w:t>
      </w:r>
    </w:p>
    <w:p>
      <w:pPr>
        <w:spacing w:after="0" w:line="1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means generally accepted accounting principles in the United States of America as in effect from time to time (other than where specifically provided for in the Indenture);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at any date after the Issue Date the Company may make an irrevocable election to establish that “GAAP” shall mean GAAP as in effect on a date that is on or prior to the date of such election. Except as otherwise set forth in the Indenture, all ratios and calculations based on GAAP contained in the Indenture shall be computed in accordance with GAAP.</w:t>
      </w:r>
    </w:p>
    <w:p>
      <w:pPr>
        <w:spacing w:after="0" w:line="19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Notes</w:t>
      </w:r>
      <w:r>
        <w:rPr>
          <w:rFonts w:ascii="Times New Roman" w:cs="Times New Roman" w:eastAsia="Times New Roman" w:hAnsi="Times New Roman"/>
          <w:sz w:val="22"/>
          <w:szCs w:val="22"/>
          <w:color w:val="auto"/>
        </w:rPr>
        <w:t xml:space="preserve"> ” means, individually and collectively, the Global Notes,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(including the Global Note Legend thereon and the “Schedule of Exchanges of Interests in the Global Note” attached thereto) issued in accordance with Section 2.01 or 2.06.</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Global Note Legend</w:t>
      </w:r>
      <w:r>
        <w:rPr>
          <w:rFonts w:ascii="Times New Roman" w:cs="Times New Roman" w:eastAsia="Times New Roman" w:hAnsi="Times New Roman"/>
          <w:sz w:val="22"/>
          <w:szCs w:val="22"/>
          <w:color w:val="auto"/>
        </w:rPr>
        <w:t>” means the legend set forth in Section 2.06(g)(2), which is required to be placed on all Global Notes issued under this Indenture.</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nation, sovereign or government, any state, province, territory or other political subdivision thereof, and any entity or authority exercising executive, legislative, judicial, regulatory, self-regulatory or administrative functions of or pertaining to government, including a central bank or stock exchange.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any obligation, contingent or otherwise, of any Person directly or indirectly guaranteeing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Indebtedness of any other Person, including any such obligation, direct or indirect, contingent or otherwise, of such Person:</w:t>
      </w:r>
    </w:p>
    <w:p>
      <w:pPr>
        <w:spacing w:after="0" w:line="209" w:lineRule="exact"/>
        <w:rPr>
          <w:sz w:val="20"/>
          <w:szCs w:val="20"/>
          <w:color w:val="auto"/>
        </w:rPr>
      </w:pPr>
    </w:p>
    <w:p>
      <w:pPr>
        <w:jc w:val="both"/>
        <w:ind w:left="660" w:firstLine="644"/>
        <w:spacing w:after="0" w:line="257" w:lineRule="auto"/>
        <w:tabs>
          <w:tab w:leader="none" w:pos="183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entered into primarily for purposes of assuring in any other manner the obligee of such Indebtedness of the payment thereof or to protect such obligee against loss in respect thereof (in whole or in part),</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 “Guarantee” will not include endorsements for collection or deposit in the ordinary course of business. The term “Guarantee” used as a verb has a corresponding meaning.</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Restricted Subsidiary that Guarantees the Notes.</w:t>
      </w:r>
    </w:p>
    <w:p>
      <w:pPr>
        <w:sectPr>
          <w:pgSz w:w="11900" w:h="16838" w:orient="portrait"/>
          <w:cols w:equalWidth="0" w:num="1">
            <w:col w:w="11240"/>
          </w:cols>
          <w:pgMar w:left="320" w:top="1440" w:right="339" w:bottom="1440" w:gutter="0" w:footer="0" w:header="0"/>
        </w:sectPr>
      </w:pPr>
    </w:p>
    <w:bookmarkStart w:id="29" w:name="page30"/>
    <w:bookmarkEnd w:id="29"/>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Hedging Obligations</w:t>
      </w:r>
      <w:r>
        <w:rPr>
          <w:rFonts w:ascii="Times New Roman" w:cs="Times New Roman" w:eastAsia="Times New Roman" w:hAnsi="Times New Roman"/>
          <w:sz w:val="22"/>
          <w:szCs w:val="22"/>
          <w:color w:val="auto"/>
        </w:rPr>
        <w:t>” of any Person means the obligations of such Person pursuant to any Interest Rate Agreement, Currency Agreement or Commodity Hedging Agreement (each, a “</w:t>
      </w:r>
      <w:r>
        <w:rPr>
          <w:rFonts w:ascii="Times New Roman" w:cs="Times New Roman" w:eastAsia="Times New Roman" w:hAnsi="Times New Roman"/>
          <w:sz w:val="22"/>
          <w:szCs w:val="22"/>
          <w:u w:val="single" w:color="auto"/>
          <w:color w:val="auto"/>
        </w:rPr>
        <w:t>Hedging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each Person in whose name the Notes are registered on the Registrar’s books, which shall initially be Cede &amp; Co., as nominee of DTC.</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Incur</w:t>
      </w:r>
      <w:r>
        <w:rPr>
          <w:rFonts w:ascii="Times New Roman" w:cs="Times New Roman" w:eastAsia="Times New Roman" w:hAnsi="Times New Roman"/>
          <w:sz w:val="22"/>
          <w:szCs w:val="22"/>
          <w:color w:val="auto"/>
        </w:rPr>
        <w:t>” means issue, create, assume, enter into any Guarantee of, incur, extend or otherwise become liable for, and the terms “</w:t>
      </w:r>
      <w:r>
        <w:rPr>
          <w:rFonts w:ascii="Times New Roman" w:cs="Times New Roman" w:eastAsia="Times New Roman" w:hAnsi="Times New Roman"/>
          <w:sz w:val="22"/>
          <w:szCs w:val="22"/>
          <w:u w:val="single" w:color="auto"/>
          <w:color w:val="auto"/>
        </w:rPr>
        <w:t>Incurred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Incurrence</w:t>
      </w:r>
      <w:r>
        <w:rPr>
          <w:rFonts w:ascii="Times New Roman" w:cs="Times New Roman" w:eastAsia="Times New Roman" w:hAnsi="Times New Roman"/>
          <w:sz w:val="22"/>
          <w:szCs w:val="22"/>
          <w:color w:val="auto"/>
        </w:rPr>
        <w:t>” have meanings correlative to the foregoing; provided, however,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any Indebtedness pursuant to any revolving credit or similar facility will only be deemed to be Incurred at the time any funds are borrowed thereunder.</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with respect to any Person on any date of determination (without duplication):</w:t>
      </w:r>
    </w:p>
    <w:p>
      <w:pPr>
        <w:spacing w:after="0" w:line="220" w:lineRule="exact"/>
        <w:rPr>
          <w:sz w:val="20"/>
          <w:szCs w:val="20"/>
          <w:color w:val="auto"/>
        </w:rPr>
      </w:pPr>
    </w:p>
    <w:p>
      <w:pPr>
        <w:ind w:left="1780" w:hanging="476"/>
        <w:spacing w:after="0"/>
        <w:tabs>
          <w:tab w:leader="none" w:pos="17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indebtedness of such Person for borrowed money;</w:t>
      </w:r>
    </w:p>
    <w:p>
      <w:pPr>
        <w:spacing w:after="0" w:line="219" w:lineRule="exact"/>
        <w:rPr>
          <w:rFonts w:ascii="Times New Roman" w:cs="Times New Roman" w:eastAsia="Times New Roman" w:hAnsi="Times New Roman"/>
          <w:sz w:val="22"/>
          <w:szCs w:val="22"/>
          <w:color w:val="auto"/>
        </w:rPr>
      </w:pPr>
    </w:p>
    <w:p>
      <w:pPr>
        <w:ind w:left="2000" w:hanging="696"/>
        <w:spacing w:after="0"/>
        <w:tabs>
          <w:tab w:leader="none" w:pos="20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of obligations of such Person evidenced by bonds, debentures, notes or other similar</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w:t>
      </w:r>
    </w:p>
    <w:p>
      <w:pPr>
        <w:spacing w:after="0" w:line="209"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6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19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Lease Obligations of such Person;</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87"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80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176" w:lineRule="exact"/>
        <w:rPr>
          <w:rFonts w:ascii="Times New Roman" w:cs="Times New Roman" w:eastAsia="Times New Roman" w:hAnsi="Times New Roman"/>
          <w:sz w:val="22"/>
          <w:szCs w:val="22"/>
          <w:color w:val="auto"/>
        </w:rPr>
      </w:pPr>
    </w:p>
    <w:p>
      <w:pPr>
        <w:ind w:left="660" w:firstLine="644"/>
        <w:spacing w:after="0" w:line="271" w:lineRule="auto"/>
        <w:tabs>
          <w:tab w:leader="none" w:pos="193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such Person of the principal component of Indebtedness of other Persons to the extent Guaranteed by such Person; and</w:t>
      </w:r>
    </w:p>
    <w:p>
      <w:pPr>
        <w:sectPr>
          <w:pgSz w:w="11900" w:h="16838" w:orient="portrait"/>
          <w:cols w:equalWidth="0" w:num="1">
            <w:col w:w="11240"/>
          </w:cols>
          <w:pgMar w:left="320" w:top="1422" w:right="339" w:bottom="1440" w:gutter="0" w:footer="0" w:header="0"/>
        </w:sectPr>
      </w:pPr>
    </w:p>
    <w:bookmarkStart w:id="30" w:name="page31"/>
    <w:bookmarkEnd w:id="30"/>
    <w:p>
      <w:pPr>
        <w:jc w:val="both"/>
        <w:ind w:left="660" w:firstLine="644"/>
        <w:spacing w:after="0" w:line="256" w:lineRule="auto"/>
        <w:tabs>
          <w:tab w:leader="none" w:pos="193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otherwise included in this definition, net obligations of such Person under Currency Agreements and Interest Rate Agreements (the amount of any such obligations to be equal at any time to the termination value of such agreement or arrangement giving rise to such obligation that would be payable by such Person at such time).</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shall not include (i) Subordinated Shareholder Funding, (ii) any lease, concession or license of property (or Guarantee thereof) which would be considered an operating lease under GAAP as in effect on the Issue Date, or (iii) any asset retirement obligations, prepayments or deposits received from clients or customers, in each case with respect to this clause (iii) only, in the ordinary course of business, or (iv) obligations under any license, permit or other approval (or Guarantees given in respect of such obligations) Incurred prior to the Issue Date or in the ordinary course of business.</w:t>
      </w:r>
    </w:p>
    <w:p>
      <w:pPr>
        <w:spacing w:after="0" w:line="16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this Indenture, and (other than with respect to letters of credit or Guarantees or Indebtedness specified in clause (5), (6) or (8) above) shall be (a) in the case of any Indebtedness issued with original issue discount, the amount in respect thereof that would appear on the balance sheet of such Person in accordance with GAAP and (b) the principal amount of the Indebtedness, in the case of any other Indebtedness.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Notwithstanding the above provisions, in no event shall the following constitute Indebtedness:</w:t>
      </w:r>
    </w:p>
    <w:p>
      <w:pPr>
        <w:spacing w:after="0" w:line="220" w:lineRule="exact"/>
        <w:rPr>
          <w:sz w:val="20"/>
          <w:szCs w:val="20"/>
          <w:color w:val="auto"/>
        </w:rPr>
      </w:pPr>
    </w:p>
    <w:p>
      <w:pPr>
        <w:ind w:left="1720" w:hanging="416"/>
        <w:spacing w:after="0"/>
        <w:tabs>
          <w:tab w:leader="none" w:pos="17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Contingent Obligations Incurred in the ordinary course of business;</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purchase by the Company or any Restricted Subsidiary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7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any obligations in respect of workers’ compensation claims, early retirement or termination obligations, pension fund obligations or contributions or similar claims, obligations or contributions or social security or wage Taxes; or</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 Trust Management SPV where the proceeds of such Indebtedness are used to finance the purchase of assets to be held in such trust; provided that the incurrence of such Indebtedness is without recourse and contains no obligation on the Company or any other Restricted Subsidiary or any of their assets in any way.</w:t>
      </w:r>
    </w:p>
    <w:p>
      <w:pPr>
        <w:sectPr>
          <w:pgSz w:w="11900" w:h="16838" w:orient="portrait"/>
          <w:cols w:equalWidth="0" w:num="1">
            <w:col w:w="11240"/>
          </w:cols>
          <w:pgMar w:left="320" w:top="1422"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means this Indenture, as amended or supplemented from time to time.</w:t>
      </w:r>
    </w:p>
    <w:p>
      <w:pPr>
        <w:spacing w:after="0" w:line="220" w:lineRule="exact"/>
        <w:rPr>
          <w:sz w:val="20"/>
          <w:szCs w:val="20"/>
          <w:color w:val="auto"/>
        </w:rPr>
      </w:pPr>
    </w:p>
    <w:p>
      <w:pPr>
        <w:jc w:val="both"/>
        <w:ind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Financial Advisor</w:t>
      </w:r>
      <w:r>
        <w:rPr>
          <w:rFonts w:ascii="Times New Roman" w:cs="Times New Roman" w:eastAsia="Times New Roman" w:hAnsi="Times New Roman"/>
          <w:sz w:val="21"/>
          <w:szCs w:val="21"/>
          <w:color w:val="auto"/>
        </w:rPr>
        <w:t>” means an investment banking or accounting firm of international standing or any third party appraiser of international standing; provided, however, that such firm or appraiser is not an Affiliate of the Company.</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Indirect Participant</w:t>
      </w:r>
      <w:r>
        <w:rPr>
          <w:rFonts w:ascii="Times New Roman" w:cs="Times New Roman" w:eastAsia="Times New Roman" w:hAnsi="Times New Roman"/>
          <w:sz w:val="22"/>
          <w:szCs w:val="22"/>
          <w:color w:val="auto"/>
        </w:rPr>
        <w:t>” means a Person who holds a beneficial interest in a Global Note through a Participant.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Notes</w:t>
      </w:r>
      <w:r>
        <w:rPr>
          <w:rFonts w:ascii="Times New Roman" w:cs="Times New Roman" w:eastAsia="Times New Roman" w:hAnsi="Times New Roman"/>
          <w:sz w:val="22"/>
          <w:szCs w:val="22"/>
          <w:color w:val="auto"/>
        </w:rPr>
        <w:t>” has the meaning assigned to it in the preamble of this Indenture.</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means the intercreditor agreement, originally dated September 20, 2012, as amended and restated by an amendment and restatement deed entered into on September 1, 2020, with such amendments coming into effect on September 24, 2020, between, among others, the Company, the Debtors (as defined in the Intercreditor Agreement), Truist Bank, as security agent and agent for the Senior Facilities Agreement, the Lenders (as RCF Lenders), the Arranger (as Arranger), the Intra-Group Lenders and the Structural Creditors (each as defined in the Intercreditor Agreement), and as further amended, restated or otherwise modified or varied from time to time, and to which the Trustee will accede on the Issue Date.</w:t>
      </w:r>
    </w:p>
    <w:p>
      <w:pPr>
        <w:spacing w:after="0" w:line="181"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Period</w:t>
      </w:r>
      <w:r>
        <w:rPr>
          <w:rFonts w:ascii="Times New Roman" w:cs="Times New Roman" w:eastAsia="Times New Roman" w:hAnsi="Times New Roman"/>
          <w:sz w:val="21"/>
          <w:szCs w:val="21"/>
          <w:color w:val="auto"/>
        </w:rPr>
        <w:t>” means the period commencing on and including an interest payment date and ending on and including the day immediately preceding the next succeeding interest payment date, with the exception that the first Interest Period shall commence on and include the Issue Date and include the day immediately preceding the first interest payment date.</w:t>
      </w:r>
    </w:p>
    <w:p>
      <w:pPr>
        <w:spacing w:after="0" w:line="16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Rate Agreement</w:t>
      </w:r>
      <w:r>
        <w:rPr>
          <w:rFonts w:ascii="Times New Roman" w:cs="Times New Roman" w:eastAsia="Times New Roman" w:hAnsi="Times New Roman"/>
          <w:sz w:val="22"/>
          <w:szCs w:val="22"/>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party or a beneficiary.</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directors, officers or employees of any Person in the ordinary course of business, and excluding any purchase of Underlying Portfolio Assets, any Right to Collect Accounts or any debt or extension of credit represented by a bank deposit other than a time deposit)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on the basis of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endorsements of negotiable instruments and documents in the ordinary course of business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22"/>
          <w:szCs w:val="22"/>
          <w:color w:val="auto"/>
        </w:rPr>
        <w:t>the Company or any Restricted Subsidiary in such Person remaining after giving effect thereto will be deemed to be a new Investment at such time equal to the fair market value of the Capital Stock of such Subsidiary not sold or disposed of in an amount determined as provided in Section 4.07(c).</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For purposes of Section 4.07:</w:t>
      </w:r>
    </w:p>
    <w:p>
      <w:pPr>
        <w:spacing w:after="0" w:line="220" w:lineRule="exact"/>
        <w:rPr>
          <w:sz w:val="20"/>
          <w:szCs w:val="20"/>
          <w:color w:val="auto"/>
        </w:rPr>
      </w:pPr>
    </w:p>
    <w:p>
      <w:pPr>
        <w:jc w:val="both"/>
        <w:ind w:left="660" w:firstLine="644"/>
        <w:spacing w:after="0" w:line="262" w:lineRule="auto"/>
        <w:tabs>
          <w:tab w:leader="none" w:pos="196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 will include the portion (proportionate to the Company’s equity interest in a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 and</w:t>
      </w:r>
    </w:p>
    <w:p>
      <w:pPr>
        <w:spacing w:after="0" w:line="172" w:lineRule="exact"/>
        <w:rPr>
          <w:rFonts w:ascii="Times New Roman" w:cs="Times New Roman" w:eastAsia="Times New Roman" w:hAnsi="Times New Roman"/>
          <w:sz w:val="21"/>
          <w:szCs w:val="21"/>
          <w:color w:val="auto"/>
        </w:rPr>
      </w:pPr>
    </w:p>
    <w:p>
      <w:pPr>
        <w:ind w:left="660" w:firstLine="644"/>
        <w:spacing w:after="0" w:line="271" w:lineRule="auto"/>
        <w:tabs>
          <w:tab w:leader="none" w:pos="182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property transferred to or from an Unrestricted Subsidiary will be valued at its fair market value at the time of such transfer, in each case as determined in good faith by the Board of Directors of the Company.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amount of any Investment outstanding at any time shall be the original cost of such Investment, reduced (at the Company’s option) by any dividend, distribution, interest payment, return of capital, repayment or other amount or value received in respect of such Investment.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Securities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84" w:lineRule="auto"/>
        <w:tabs>
          <w:tab w:leader="none" w:pos="179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or Canadian government or any agency or instrumentality thereof (other than Cash Equivalents);</w:t>
      </w:r>
    </w:p>
    <w:p>
      <w:pPr>
        <w:spacing w:after="0" w:line="143" w:lineRule="exact"/>
        <w:rPr>
          <w:rFonts w:ascii="Times New Roman" w:cs="Times New Roman" w:eastAsia="Times New Roman" w:hAnsi="Times New Roman"/>
          <w:sz w:val="22"/>
          <w:szCs w:val="22"/>
          <w:color w:val="auto"/>
        </w:rPr>
      </w:pPr>
    </w:p>
    <w:p>
      <w:pPr>
        <w:ind w:left="660" w:firstLine="644"/>
        <w:spacing w:after="0" w:line="271" w:lineRule="auto"/>
        <w:tabs>
          <w:tab w:leader="none" w:pos="183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Kingdom, a member state of the European Union, or any agency or instrumentality thereof (other than Cash Equivalents);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87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securities or debt instruments with a rating of “</w:t>
      </w:r>
      <w:r>
        <w:rPr>
          <w:rFonts w:ascii="Times New Roman" w:cs="Times New Roman" w:eastAsia="Times New Roman" w:hAnsi="Times New Roman"/>
          <w:sz w:val="22"/>
          <w:szCs w:val="22"/>
          <w:u w:val="single" w:color="auto"/>
          <w:color w:val="auto"/>
        </w:rPr>
        <w:t>BBB–</w:t>
      </w:r>
      <w:r>
        <w:rPr>
          <w:rFonts w:ascii="Times New Roman" w:cs="Times New Roman" w:eastAsia="Times New Roman" w:hAnsi="Times New Roman"/>
          <w:sz w:val="22"/>
          <w:szCs w:val="22"/>
          <w:color w:val="auto"/>
        </w:rPr>
        <w:t>” or higher from S&amp;P or “</w:t>
      </w:r>
      <w:r>
        <w:rPr>
          <w:rFonts w:ascii="Times New Roman" w:cs="Times New Roman" w:eastAsia="Times New Roman" w:hAnsi="Times New Roman"/>
          <w:sz w:val="22"/>
          <w:szCs w:val="22"/>
          <w:u w:val="single" w:color="auto"/>
          <w:color w:val="auto"/>
        </w:rPr>
        <w:t>Baa3</w:t>
      </w:r>
      <w:r>
        <w:rPr>
          <w:rFonts w:ascii="Times New Roman" w:cs="Times New Roman" w:eastAsia="Times New Roman" w:hAnsi="Times New Roman"/>
          <w:sz w:val="22"/>
          <w:szCs w:val="22"/>
          <w:color w:val="auto"/>
        </w:rPr>
        <w:t>” or higher by Moody’s or “BBB-” or higher by Fitch or the equivalent of such rating by such rating organization or, if no rating of Moody’s, Fitch or S&amp;P then exists, the equivalent of such rating by any other Nationally Recognized Statistical Rating Organization, but excluding any debt securities or instruments constituting loans or advances among the Company and its Subsidiaries; and</w:t>
      </w:r>
    </w:p>
    <w:p>
      <w:pPr>
        <w:sectPr>
          <w:pgSz w:w="11900" w:h="16838" w:orient="portrait"/>
          <w:cols w:equalWidth="0" w:num="1">
            <w:col w:w="11240"/>
          </w:cols>
          <w:pgMar w:left="320" w:top="1422" w:right="339" w:bottom="1440" w:gutter="0" w:footer="0" w:header="0"/>
        </w:sectPr>
      </w:pPr>
    </w:p>
    <w:bookmarkStart w:id="33" w:name="page34"/>
    <w:bookmarkEnd w:id="33"/>
    <w:p>
      <w:pPr>
        <w:ind w:left="1820" w:hanging="516"/>
        <w:spacing w:after="0"/>
        <w:tabs>
          <w:tab w:leader="none" w:pos="182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fund that invests exclusively in investments of the type described in clauses (1), (2) and</w:t>
      </w:r>
    </w:p>
    <w:p>
      <w:pPr>
        <w:spacing w:after="0" w:line="27"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which fund may also hold cash and Cash Equivalents pending investment or distribution.</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 Grade Status</w:t>
      </w:r>
      <w:r>
        <w:rPr>
          <w:rFonts w:ascii="Times New Roman" w:cs="Times New Roman" w:eastAsia="Times New Roman" w:hAnsi="Times New Roman"/>
          <w:sz w:val="22"/>
          <w:szCs w:val="22"/>
          <w:color w:val="auto"/>
        </w:rPr>
        <w:t>” shall occur when the Notes receive any two of the following:</w:t>
      </w:r>
    </w:p>
    <w:p>
      <w:pPr>
        <w:spacing w:after="0" w:line="233" w:lineRule="exact"/>
        <w:rPr>
          <w:sz w:val="20"/>
          <w:szCs w:val="20"/>
          <w:color w:val="auto"/>
        </w:rPr>
      </w:pPr>
    </w:p>
    <w:p>
      <w:pPr>
        <w:ind w:left="1780" w:hanging="476"/>
        <w:spacing w:after="0"/>
        <w:tabs>
          <w:tab w:leader="none" w:pos="17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of “BBB–” or higher from S&amp;P;</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of “Baa3” or higher from Moody’s; and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rating of “BBB-” or higher from Fitch,</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or the equivalent of such ratings by either such rating organizations or, if no rating of Moody’s, Fitch or S&amp;P then exists, the equivalent of such applicable rating by any other Nationally Recognized Statistical Rating Organization.</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Issue Date</w:t>
      </w:r>
      <w:r>
        <w:rPr>
          <w:rFonts w:ascii="Times New Roman" w:cs="Times New Roman" w:eastAsia="Times New Roman" w:hAnsi="Times New Roman"/>
          <w:sz w:val="22"/>
          <w:szCs w:val="22"/>
          <w:color w:val="auto"/>
        </w:rPr>
        <w:t>” means May 22, 2026.</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mortgage, pledge, security interest, encumbrance, lien or charge of any kind (including any conditional sale or other title retention agreement or lease in the nature thereof).</w:t>
      </w:r>
    </w:p>
    <w:p>
      <w:pPr>
        <w:spacing w:after="0" w:line="158"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LTV Ratio</w:t>
      </w:r>
      <w:r>
        <w:rPr>
          <w:rFonts w:ascii="Times New Roman" w:cs="Times New Roman" w:eastAsia="Times New Roman" w:hAnsi="Times New Roman"/>
          <w:sz w:val="22"/>
          <w:szCs w:val="22"/>
          <w:color w:val="auto"/>
        </w:rPr>
        <w:t xml:space="preserve">” means, in respect of any date of calculation, the aggregate Secured Indebtedness of the Company and its Restricted Subsidiaries less cash and Cash Equivalents (other than cash or Cash Equivalents in an amount equal to amounts collected by the Company and its Restricted Subsidiaries on behalf of third-party clients and held by the Company and its Restricted Subsidiaries as of such date and cash and Cash Equivalents that constitute Trust Management Assets or are held on trust for a beneficiary which is not the Company or a Restricted Subsidiary) of the Company and its Restricted Subsidiaries as of such date, divided by ERC; provided that ERC shall be adjusted to give effect to purchases or disposals of performing, sub-performing or charged-off accounts, loans, receivables, mortgages, debentures or claims or other similar assets or instruments or portfolios thereof (including through the use of Right to Collect Accounts) made since the last measurement date and prior to such date of calculation, on the basis of estimates made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by management acting in good faith. In determining the LTV Ratio in connection with the Incurrence of Indebtedness and the granting of a Lien, the LTV Ratio shall be determined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for the relevant transaction and the use of proceeds of such Indebtedness; provided that no cash or Cash Equivalents shall be included in the calculation of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LTV Ratio that are, or are derived from, the proceeds of Indebtedness in respect of which the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calculation is to be made, except, for the avoidance of doubt, to the extent cash or Cash Equivalents will be expended in a transaction to which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is given;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any cash and Cash Equivalents received by the Company or any of its Restricted Subsidiaries from the issuance or sale of its Capital Stock, Subordinated Shareholder Funding or other capital contributions subsequent to the Issue Date shall (to the extent they are taken into account in determining the amount available for Restricted Payments under such clauses) be excluded for purposes of making Restricted Payments and</w:t>
      </w:r>
    </w:p>
    <w:p>
      <w:pPr>
        <w:sectPr>
          <w:pgSz w:w="11900" w:h="16838" w:orient="portrait"/>
          <w:cols w:equalWidth="0" w:num="1">
            <w:col w:w="11240"/>
          </w:cols>
          <w:pgMar w:left="320" w:top="1422" w:right="339" w:bottom="1440" w:gutter="0" w:footer="0" w:header="0"/>
        </w:sectPr>
      </w:pPr>
    </w:p>
    <w:bookmarkStart w:id="34" w:name="page35"/>
    <w:bookmarkEnd w:id="34"/>
    <w:p>
      <w:pPr>
        <w:spacing w:after="0" w:line="271" w:lineRule="auto"/>
        <w:rPr>
          <w:sz w:val="20"/>
          <w:szCs w:val="20"/>
          <w:color w:val="auto"/>
        </w:rPr>
      </w:pPr>
      <w:r>
        <w:rPr>
          <w:rFonts w:ascii="Times New Roman" w:cs="Times New Roman" w:eastAsia="Times New Roman" w:hAnsi="Times New Roman"/>
          <w:sz w:val="22"/>
          <w:szCs w:val="22"/>
          <w:color w:val="auto"/>
        </w:rPr>
        <w:t>Permitted Payments, as applicable, under Sections 4.07(a)(C)(ii), 4.07(a)(C)(iii), 4.07(b)(1) and 4.07(b)(13) to the extent such cash and Cash Equivalents are included in the calculation of the LTV Ratio.</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any and all claims, losses, liabilities, damages, costs, expenses and judgments (including legal fees and expenses) sustained or incurred by either party.</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Luxembourg</w:t>
      </w:r>
      <w:r>
        <w:rPr>
          <w:rFonts w:ascii="Times New Roman" w:cs="Times New Roman" w:eastAsia="Times New Roman" w:hAnsi="Times New Roman"/>
          <w:sz w:val="22"/>
          <w:szCs w:val="22"/>
          <w:color w:val="auto"/>
        </w:rPr>
        <w:t>” means the Grand Duchy of Luxembourg.</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Advances</w:t>
      </w:r>
      <w:r>
        <w:rPr>
          <w:rFonts w:ascii="Times New Roman" w:cs="Times New Roman" w:eastAsia="Times New Roman" w:hAnsi="Times New Roman"/>
          <w:sz w:val="22"/>
          <w:szCs w:val="22"/>
          <w:color w:val="auto"/>
        </w:rPr>
        <w:t>” means loans or advances made to, or Guarantees with respect to loans or advances made to, directors, officers, employees or consultants of any Parent, the Company or any Restricted Subsidiary:</w:t>
      </w:r>
    </w:p>
    <w:p>
      <w:pPr>
        <w:spacing w:after="0" w:line="158" w:lineRule="exact"/>
        <w:rPr>
          <w:sz w:val="20"/>
          <w:szCs w:val="20"/>
          <w:color w:val="auto"/>
        </w:rPr>
      </w:pPr>
    </w:p>
    <w:p>
      <w:pPr>
        <w:ind w:left="1780" w:hanging="476"/>
        <w:spacing w:after="0"/>
        <w:tabs>
          <w:tab w:leader="none" w:pos="1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travel, entertainment or moving related expenses Incurred in the ordinary course of business;</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moving related expenses Incurred in connection with any closing or consolidation of any facility</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 office; or</w:t>
      </w:r>
    </w:p>
    <w:p>
      <w:pPr>
        <w:spacing w:after="0" w:line="195"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exceeding $2.50 million in the aggregate outstanding at any time.</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Management Investors</w:t>
      </w:r>
      <w:r>
        <w:rPr>
          <w:rFonts w:ascii="Times New Roman" w:cs="Times New Roman" w:eastAsia="Times New Roman" w:hAnsi="Times New Roman"/>
          <w:sz w:val="22"/>
          <w:szCs w:val="22"/>
          <w:color w:val="auto"/>
        </w:rPr>
        <w:t>” means the officers, directors, employees and other members of the management of or consultants to any Parent, the Company or any of their respective Subsidiaries, or spouses, family members or relatives thereof, or any trust, partnership or other entity for the benefit of or the beneficial owner of which (directly or indirectly) is any of the foregoing, or any of their heirs, executors, successors and legal representatives, who at any date beneficially own or have the right to acquire, directly or indirectly, Capital Stock of the Company, any Restricted Subsidiary or any Parent.</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Capitalization</w:t>
      </w:r>
      <w:r>
        <w:rPr>
          <w:rFonts w:ascii="Times New Roman" w:cs="Times New Roman" w:eastAsia="Times New Roman" w:hAnsi="Times New Roman"/>
          <w:sz w:val="22"/>
          <w:szCs w:val="22"/>
          <w:color w:val="auto"/>
        </w:rPr>
        <w:t>” means an amount equal to (i) the total number of issued and outstanding shares of common stock or common equity interests of the Company at market close on December 31 of the prior fiscal year immediately preceding the date of the relevant dividend or share purchase (“</w:t>
      </w:r>
      <w:r>
        <w:rPr>
          <w:rFonts w:ascii="Times New Roman" w:cs="Times New Roman" w:eastAsia="Times New Roman" w:hAnsi="Times New Roman"/>
          <w:sz w:val="22"/>
          <w:szCs w:val="22"/>
          <w:u w:val="single" w:color="auto"/>
          <w:color w:val="auto"/>
        </w:rPr>
        <w:t>Market Capitalization Test Date</w:t>
      </w:r>
      <w:r>
        <w:rPr>
          <w:rFonts w:ascii="Times New Roman" w:cs="Times New Roman" w:eastAsia="Times New Roman" w:hAnsi="Times New Roman"/>
          <w:sz w:val="22"/>
          <w:szCs w:val="22"/>
          <w:color w:val="auto"/>
        </w:rPr>
        <w:t>”) multiplied by (ii) the arithmetic mean of the closing prices per share of such common stock or common equity interests for the 30 consecutive trading days immediately preceding the Market Capitalization Test Date.</w:t>
      </w:r>
    </w:p>
    <w:p>
      <w:pPr>
        <w:spacing w:after="0" w:line="179"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 or any of its successors or assigns that is a Nationally Recognized Statistical Rating Organization.</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Nationally Recognized Statistical Rating Organization</w:t>
      </w:r>
      <w:r>
        <w:rPr>
          <w:rFonts w:ascii="Times New Roman" w:cs="Times New Roman" w:eastAsia="Times New Roman" w:hAnsi="Times New Roman"/>
          <w:sz w:val="22"/>
          <w:szCs w:val="22"/>
          <w:color w:val="auto"/>
        </w:rPr>
        <w:t>” means a nationally recognized statistical rating organization within the meaning of Section 3(a)(62) of the Exchange Act.</w:t>
      </w:r>
    </w:p>
    <w:p>
      <w:pPr>
        <w:spacing w:after="0" w:line="144"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Net Available Cash</w:t>
      </w:r>
      <w:r>
        <w:rPr>
          <w:rFonts w:ascii="Times New Roman" w:cs="Times New Roman" w:eastAsia="Times New Roman" w:hAnsi="Times New Roman"/>
          <w:sz w:val="21"/>
          <w:szCs w:val="21"/>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w:t>
      </w:r>
    </w:p>
    <w:p>
      <w:pPr>
        <w:sectPr>
          <w:pgSz w:w="11900" w:h="16838" w:orient="portrait"/>
          <w:cols w:equalWidth="0" w:num="1">
            <w:col w:w="11240"/>
          </w:cols>
          <w:pgMar w:left="320" w:top="1422" w:right="339" w:bottom="1440" w:gutter="0" w:footer="0" w:header="0"/>
        </w:sectPr>
      </w:pPr>
    </w:p>
    <w:bookmarkStart w:id="35" w:name="page36"/>
    <w:bookmarkEnd w:id="35"/>
    <w:p>
      <w:pPr>
        <w:jc w:val="both"/>
        <w:spacing w:after="0" w:line="257" w:lineRule="auto"/>
        <w:rPr>
          <w:sz w:val="20"/>
          <w:szCs w:val="20"/>
          <w:color w:val="auto"/>
        </w:rPr>
      </w:pPr>
      <w:r>
        <w:rPr>
          <w:rFonts w:ascii="Times New Roman" w:cs="Times New Roman" w:eastAsia="Times New Roman" w:hAnsi="Times New Roman"/>
          <w:sz w:val="22"/>
          <w:szCs w:val="22"/>
          <w:color w:val="auto"/>
        </w:rPr>
        <w:t>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86" w:lineRule="exact"/>
        <w:rPr>
          <w:sz w:val="20"/>
          <w:szCs w:val="20"/>
          <w:color w:val="auto"/>
        </w:rPr>
      </w:pPr>
    </w:p>
    <w:p>
      <w:pPr>
        <w:jc w:val="both"/>
        <w:ind w:left="660" w:firstLine="644"/>
        <w:spacing w:after="0" w:line="252" w:lineRule="auto"/>
        <w:tabs>
          <w:tab w:leader="none" w:pos="182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legal, accounting, investment banking, title and recording tax expenses, commissions and other fees and expenses Incurred, and all Taxes paid or required to be paid or accrued as a liability under GAAP (after taking into account any available tax credits or deductions), as a consequence of such Asset Disposition or the repatriation of the proceeds therefrom;</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0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on any Indebtedness which is secured by any assets subject to such Asset Disposition, in accordance with the terms of any Lien upon such assets, or which are required by applicable law to be repaid out of the proceeds from such Asset Disposition;</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1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distributions and other payments required to be made to minority interest holders (other than any Parent, the Company or any of their respective Subsidiaries) in Subsidiaries or joint ventures as a result of such Asset Disposition; and</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8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deduction of appropriate amounts required to be provided by the seller as a reserve, on the basis of GAAP, against any liabilities associated with the assets disposed of in such Asset Disposition and retained by the Company or any Restricted Subsidiary after such Asset Disposition.</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Cash Proceeds</w:t>
      </w:r>
      <w:r>
        <w:rPr>
          <w:rFonts w:ascii="Times New Roman" w:cs="Times New Roman" w:eastAsia="Times New Roman" w:hAnsi="Times New Roman"/>
          <w:sz w:val="22"/>
          <w:szCs w:val="22"/>
          <w:color w:val="auto"/>
        </w:rPr>
        <w:t>”, with respect to any issuance or sale of Capital Stock or Subordinated Shareholder Funding,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w:t>
      </w:r>
    </w:p>
    <w:p>
      <w:pPr>
        <w:spacing w:after="0" w:line="17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Documents</w:t>
      </w:r>
      <w:r>
        <w:rPr>
          <w:rFonts w:ascii="Times New Roman" w:cs="Times New Roman" w:eastAsia="Times New Roman" w:hAnsi="Times New Roman"/>
          <w:sz w:val="22"/>
          <w:szCs w:val="22"/>
          <w:color w:val="auto"/>
        </w:rPr>
        <w:t>” means the Notes (including Additional Notes), this Indenture, the Intercreditor Agreement and the Security Documents.</w:t>
      </w:r>
    </w:p>
    <w:p>
      <w:pPr>
        <w:spacing w:after="0" w:line="158"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 Guarantee</w:t>
      </w:r>
      <w:r>
        <w:rPr>
          <w:rFonts w:ascii="Times New Roman" w:cs="Times New Roman" w:eastAsia="Times New Roman" w:hAnsi="Times New Roman"/>
          <w:sz w:val="22"/>
          <w:szCs w:val="22"/>
          <w:color w:val="auto"/>
        </w:rPr>
        <w:t>” means the Guarantee of the Notes by a Guarantor, and, for the avoidance of doubt, includes any Additional Note Guarantee.</w:t>
      </w:r>
    </w:p>
    <w:p>
      <w:pPr>
        <w:spacing w:after="0" w:line="14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 has the meaning assigned to it in the preamble to this Indenture. The Initial Notes and any Additional Notes shall be treated as a single class for all purposes under this Indenture, and, unless the context otherwise requires, all references to the Notes shall include the Initial Notes and any Additional Notes.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Offering Memorandum</w:t>
      </w:r>
      <w:r>
        <w:rPr>
          <w:rFonts w:ascii="Times New Roman" w:cs="Times New Roman" w:eastAsia="Times New Roman" w:hAnsi="Times New Roman"/>
          <w:sz w:val="22"/>
          <w:szCs w:val="22"/>
          <w:color w:val="auto"/>
        </w:rPr>
        <w:t>” means the offering memorandum dated May 11, 2026 relating to the offering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Initial Notes.</w:t>
      </w:r>
    </w:p>
    <w:p>
      <w:pPr>
        <w:sectPr>
          <w:pgSz w:w="11900" w:h="16838" w:orient="portrait"/>
          <w:cols w:equalWidth="0" w:num="1">
            <w:col w:w="11240"/>
          </w:cols>
          <w:pgMar w:left="320" w:top="1422" w:right="339" w:bottom="1440" w:gutter="0" w:footer="0" w:header="0"/>
        </w:sectPr>
      </w:pPr>
    </w:p>
    <w:bookmarkStart w:id="36" w:name="page37"/>
    <w:bookmarkEnd w:id="36"/>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w:t>
      </w:r>
      <w:r>
        <w:rPr>
          <w:rFonts w:ascii="Times New Roman" w:cs="Times New Roman" w:eastAsia="Times New Roman" w:hAnsi="Times New Roman"/>
          <w:sz w:val="22"/>
          <w:szCs w:val="22"/>
          <w:color w:val="auto"/>
        </w:rPr>
        <w:t>” means, with respect to any Person, (1) the Chairman of the Board of Directors, the Chief Executive Officer, the President, the Chief Financial Officer, any Vice President, the Treasurer, any Managing Director, any director or the Secretary (a) of such Person or (b) if such Person is owned or managed by a single entity, of such entity, or (2) any other individual designated as an “Officer” for the purposes of this Indenture by the Board of Directors of such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Officer’s Certificate</w:t>
      </w:r>
      <w:r>
        <w:rPr>
          <w:rFonts w:ascii="Times New Roman" w:cs="Times New Roman" w:eastAsia="Times New Roman" w:hAnsi="Times New Roman"/>
          <w:sz w:val="22"/>
          <w:szCs w:val="22"/>
          <w:color w:val="auto"/>
        </w:rPr>
        <w:t>” means, with respect to any Person, a certificate signed by one Officer of such Person.</w:t>
      </w:r>
    </w:p>
    <w:p>
      <w:pPr>
        <w:spacing w:after="0" w:line="220"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Opinion of Counsel</w:t>
      </w:r>
      <w:r>
        <w:rPr>
          <w:rFonts w:ascii="Times New Roman" w:cs="Times New Roman" w:eastAsia="Times New Roman" w:hAnsi="Times New Roman"/>
          <w:sz w:val="22"/>
          <w:szCs w:val="22"/>
          <w:color w:val="auto"/>
        </w:rPr>
        <w:t>” means a written opinion from legal counsel reasonably satisfactory to the Trustee. Such legal counsel may be an employee of or counsel to the Company or its Subsidiaries.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means any Person of which the Company at any time is or becomes a Subsidiary after the Issue Date.</w:t>
      </w:r>
    </w:p>
    <w:p>
      <w:pPr>
        <w:spacing w:after="0" w:line="23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Pari Passu Indebtedness</w:t>
      </w:r>
      <w:r>
        <w:rPr>
          <w:rFonts w:ascii="Times New Roman" w:cs="Times New Roman" w:eastAsia="Times New Roman" w:hAnsi="Times New Roman"/>
          <w:sz w:val="22"/>
          <w:szCs w:val="22"/>
          <w:color w:val="auto"/>
        </w:rPr>
        <w:t>” means Indebtedness of the Company or any Guarantor (other than Indebtedness pursuant to the Senior Facilities Agreement and Priority Hedging Obligations) if such Indebtedness does not constitute Subordinated Indebtedness.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with respect to any Depositary, a Person who is a participant of or has an account with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Depositary.</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Paying Agent</w:t>
      </w:r>
      <w:r>
        <w:rPr>
          <w:rFonts w:ascii="Times New Roman" w:cs="Times New Roman" w:eastAsia="Times New Roman" w:hAnsi="Times New Roman"/>
          <w:sz w:val="22"/>
          <w:szCs w:val="22"/>
          <w:color w:val="auto"/>
        </w:rPr>
        <w:t>” means any Person authorized by the Company to pay the principal of (and premium, if any) or interest on any Note on behalf of the Company.</w:t>
      </w:r>
    </w:p>
    <w:p>
      <w:pPr>
        <w:spacing w:after="0" w:line="144"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Asset Swap</w:t>
      </w:r>
      <w:r>
        <w:rPr>
          <w:rFonts w:ascii="Times New Roman" w:cs="Times New Roman" w:eastAsia="Times New Roman" w:hAnsi="Times New Roman"/>
          <w:sz w:val="22"/>
          <w:szCs w:val="22"/>
          <w:color w:val="auto"/>
        </w:rPr>
        <w:t>” means the concurrent purchase and sale or exchange of assets used or useful in a Similar Business or a combination of such assets and cash, Cash Equivalents or Temporary Cash Investments between the Company or any of its Restricted Subsidiaries and another Person; provided that any cash or Cash Equivalents received in excess of the value of any cash or Cash Equivalents sold or exchanged must be applied in accordance with Section 4.10.</w:t>
      </w:r>
    </w:p>
    <w:p>
      <w:pPr>
        <w:spacing w:after="0" w:line="193"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“P</w:t>
      </w:r>
      <w:r>
        <w:rPr>
          <w:rFonts w:ascii="Times New Roman" w:cs="Times New Roman" w:eastAsia="Times New Roman" w:hAnsi="Times New Roman"/>
          <w:sz w:val="22"/>
          <w:szCs w:val="22"/>
          <w:u w:val="single" w:color="auto"/>
          <w:color w:val="auto"/>
        </w:rPr>
        <w:t>ermitted Collateral Liens</w:t>
      </w:r>
      <w:r>
        <w:rPr>
          <w:rFonts w:ascii="Times New Roman" w:cs="Times New Roman" w:eastAsia="Times New Roman" w:hAnsi="Times New Roman"/>
          <w:sz w:val="22"/>
          <w:szCs w:val="22"/>
          <w:color w:val="auto"/>
        </w:rPr>
        <w:t>” means (A) Liens on the Collateral described in one or more of clauses (2), (3), (4), (5), (6), (8), (9), (10), (11), (12), (13), (14), (18), (19), (20), (21), (22), (23) and (25) of the definition of “Permitted Liens”, (B) Liens on the Collateral to secure Indebtedness of the Company or a Restricted Subsidiary that is permitted to be Incurred under Section 4.09(b)(1), 4.09(b)(2) (in the case of Section 4.09(b)(2), to the extent such Guarantee is in respect of Indebtedness otherwise permitted to be secured and specified in this definition of “Permitted Collateral Liens”), 4.09(b)(4)(A) and 4.09(b)(4)</w:t>
      </w:r>
    </w:p>
    <w:p>
      <w:pPr>
        <w:spacing w:after="0" w:line="1" w:lineRule="exact"/>
        <w:rPr>
          <w:sz w:val="20"/>
          <w:szCs w:val="20"/>
          <w:color w:val="auto"/>
        </w:rPr>
      </w:pPr>
    </w:p>
    <w:p>
      <w:pPr>
        <w:jc w:val="both"/>
        <w:ind w:firstLine="8"/>
        <w:spacing w:after="0" w:line="264" w:lineRule="auto"/>
        <w:tabs>
          <w:tab w:leader="none" w:pos="34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original Indebtedness was so secured), 4.09(b)(6) or 4.09(b)(11);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such Lien ranks equal to (including with respect to the application of proceeds from any realization or enforcement of the Collateral in accordance with the Intercreditor Agreement) all other Liens on such Collateral securing the Notes and the Note Guarantees (except that a Lien in favor of Indebtedness incurred under Section 4.09(b)(1) and a Lien in favor of Priority Hedging Obligations may have super</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priority in respect of the application of proceeds from any realization or enforcement of the Collateral on terms not materially less favorable to the Holders than that accorded to the Senior Facilities Agreement on the Issue Date as provided in the Intercreditor Agreement as in effect on the Issue Date), (C) Liens on the Collateral securing Indebtedness incurred under Section 4.09(a);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this clause (C), (x) after giving effect to such incurrence on that date, the LTV Ratio is less than 0.725 and (y) any such Lien ranks equal to (including with respect to the application of proceeds from any realization or enforcement of the Collateral in accordance with the Intercreditor Agreement) all other Liens on such Collateral securing the Notes and the Note Guarantees, (D) Liens on the Collateral securing Indebtedness incurred under clause 4.09(b)(5)(ii);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that</w:t>
      </w:r>
      <w:r>
        <w:rPr>
          <w:rFonts w:ascii="Times New Roman" w:cs="Times New Roman" w:eastAsia="Times New Roman" w:hAnsi="Times New Roman"/>
          <w:sz w:val="21"/>
          <w:szCs w:val="21"/>
          <w:color w:val="auto"/>
        </w:rPr>
        <w:t>, in the case of this clause (D), after giving</w:t>
      </w:r>
      <w:r>
        <w:rPr>
          <w:rFonts w:ascii="Times New Roman" w:cs="Times New Roman" w:eastAsia="Times New Roman" w:hAnsi="Times New Roman"/>
          <w:sz w:val="21"/>
          <w:szCs w:val="21"/>
          <w:i w:val="1"/>
          <w:iCs w:val="1"/>
          <w:color w:val="auto"/>
        </w:rPr>
        <w:t xml:space="preserve"> pro forma </w:t>
      </w:r>
      <w:r>
        <w:rPr>
          <w:rFonts w:ascii="Times New Roman" w:cs="Times New Roman" w:eastAsia="Times New Roman" w:hAnsi="Times New Roman"/>
          <w:sz w:val="21"/>
          <w:szCs w:val="21"/>
          <w:color w:val="auto"/>
        </w:rPr>
        <w:t>effect to the relevant acquisition and the Incurrence of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Indebtedness pursuant to such clause (5)(ii), the LTV ratio would not be worse than it was immediately prior to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the relevant acquisition and the Incurrence of such Indebtedness, or (E) Liens on Collateral securing Refinancing Indebtedness in respect of any Indebtedness secured pursuant to the foregoing clauses (A), (B), (C) and (D);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Lien ranks equal to (including with respect to the application of proceeds from any realization or enforcement of the Collateral in accordance with the Intercreditor Agreement) all other Liens on such Collateral securing the Notes and the Note Guarantees (except as otherwise permitted in clause (B)). To the extent that a Lien on the Collateral consists of a mortgage over any real estate located in the United Kingdom, it shall constitute a Permitted Collateral Lien only to the extent that a mortgage ranking at least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is granted in favor of the Security Agent for the benefit of the Trustee and the Holders.</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Investment</w:t>
      </w:r>
      <w:r>
        <w:rPr>
          <w:rFonts w:ascii="Times New Roman" w:cs="Times New Roman" w:eastAsia="Times New Roman" w:hAnsi="Times New Roman"/>
          <w:sz w:val="22"/>
          <w:szCs w:val="22"/>
          <w:color w:val="auto"/>
        </w:rPr>
        <w:t>” means (in each case, by the Company or any of its Restricted Subsidiaries):</w:t>
      </w:r>
    </w:p>
    <w:p>
      <w:pPr>
        <w:spacing w:after="0" w:line="220" w:lineRule="exact"/>
        <w:rPr>
          <w:sz w:val="20"/>
          <w:szCs w:val="20"/>
          <w:color w:val="auto"/>
        </w:rPr>
      </w:pPr>
    </w:p>
    <w:p>
      <w:pPr>
        <w:jc w:val="both"/>
        <w:ind w:left="660" w:firstLine="644"/>
        <w:spacing w:after="0" w:line="263" w:lineRule="auto"/>
        <w:tabs>
          <w:tab w:leader="none" w:pos="187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 a Restricted Subsidiary (including the Capital Stock of a Restricted Subsidiary) or the Company or (b) a Person (including the Capital Stock of any such Person) that is engaged in any Similar Business if such Person will, upon the making of such Investment, become a Restricted Subsidiary;</w:t>
      </w:r>
    </w:p>
    <w:p>
      <w:pPr>
        <w:spacing w:after="0" w:line="16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7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another Person if such Person is engaged in any Similar Business and as a result of such Investment such other Person is merged, consolidated or otherwise combined with or into, or transfers or conveys all or substantially all its assets to, the Company or a Restricted Subsidiary;</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Cash Equivalents, Temporary Cash Investments or Investment Grade Securities;</w:t>
      </w:r>
    </w:p>
    <w:p>
      <w:pPr>
        <w:spacing w:after="0" w:line="233" w:lineRule="exact"/>
        <w:rPr>
          <w:rFonts w:ascii="Times New Roman" w:cs="Times New Roman" w:eastAsia="Times New Roman" w:hAnsi="Times New Roman"/>
          <w:sz w:val="22"/>
          <w:szCs w:val="22"/>
          <w:color w:val="auto"/>
        </w:rPr>
      </w:pPr>
    </w:p>
    <w:p>
      <w:pPr>
        <w:ind w:left="660" w:firstLine="644"/>
        <w:spacing w:after="0" w:line="271" w:lineRule="auto"/>
        <w:tabs>
          <w:tab w:leader="none" w:pos="18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Receivables owing to the Company or any Restricted Subsidiary created or acquired in the ordinary course of business;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6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payroll, travel and similar advances to cover matters that are expected at the time of such advances ultimately to be treated as expenses for accounting purposes and that are made in the ordinary course of business;</w:t>
      </w:r>
    </w:p>
    <w:p>
      <w:pPr>
        <w:sectPr>
          <w:pgSz w:w="11900" w:h="16838" w:orient="portrait"/>
          <w:cols w:equalWidth="0" w:num="1">
            <w:col w:w="11240"/>
          </w:cols>
          <w:pgMar w:left="320" w:top="1422" w:right="339" w:bottom="1440" w:gutter="0" w:footer="0" w:header="0"/>
        </w:sectPr>
      </w:pPr>
    </w:p>
    <w:bookmarkStart w:id="38" w:name="page39"/>
    <w:bookmarkEnd w:id="38"/>
    <w:p>
      <w:pPr>
        <w:ind w:left="660" w:hanging="476"/>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Advances;</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67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Capital Stock, obligations or securities received in settlement of debts created in the ordinary course of business and owing to the Company or any Restricted Subsidiary, or as a result of foreclosure, perfection or enforcement of any Lien, or in satisfaction of judgments or pursuant to any plan of reorganization or similar arrangement including upon the bankruptcy or insolvency of a debtor;</w:t>
      </w:r>
    </w:p>
    <w:p>
      <w:pPr>
        <w:spacing w:after="0" w:line="176"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75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made as a result of the receipt of non-cash consideration from a sale or other disposition of property or assets, including an Asset Disposition, in each case, that was made in compliance with Section 4.10;</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4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 existence on, or made pursuant to legally binding commitments in existence on, the Issue Date, and any extension, modification or renewal of such Investment;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the Investment may be increased as required by the terms of the Investment as in existence on the Issue Date;</w:t>
      </w:r>
    </w:p>
    <w:p>
      <w:pPr>
        <w:spacing w:after="0" w:line="167" w:lineRule="exact"/>
        <w:rPr>
          <w:rFonts w:ascii="Times New Roman" w:cs="Times New Roman" w:eastAsia="Times New Roman" w:hAnsi="Times New Roman"/>
          <w:sz w:val="22"/>
          <w:szCs w:val="22"/>
          <w:color w:val="auto"/>
        </w:rPr>
      </w:pPr>
    </w:p>
    <w:p>
      <w:pPr>
        <w:ind w:left="-460" w:firstLine="644"/>
        <w:spacing w:after="0" w:line="271" w:lineRule="auto"/>
        <w:tabs>
          <w:tab w:leader="none" w:pos="85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Currency Agreements, Interest Rate Agreements, Commodity Hedging Agreements and related Hedging Obligations, which transactions or obligations are Incurred in compliance with Section 4.09;</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83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taken together with all other Investments made pursuant to this clause (11) and at any time outstanding, in an aggregate amount at the time of such Investment not to exceed the greater of 4.5% of Total Assets and $245.0 million; provided that, if an Investment is made pursuant to this clause in a Person that is not a Restricted Subsidiary and such Person subsequently becomes a Restricted Subsidiary or is subsequently designated a Restricted Subsidiary pursuant to Section 4.07, such Investment shall thereafter be deemed to have been made pursuant to clause (1) or (2) of the definition of “Permitted Investments” and not this clause;</w:t>
      </w:r>
    </w:p>
    <w:p>
      <w:pPr>
        <w:spacing w:after="0" w:line="181"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6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with respect to leases or utilities provided to third parties in the ordinary course of business or Liens otherwise described in the definition of “Permitted Liens” or made in connection with Liens permitted under Section 4.12;</w:t>
      </w:r>
    </w:p>
    <w:p>
      <w:pPr>
        <w:spacing w:after="0" w:line="167" w:lineRule="exact"/>
        <w:rPr>
          <w:rFonts w:ascii="Times New Roman" w:cs="Times New Roman" w:eastAsia="Times New Roman" w:hAnsi="Times New Roman"/>
          <w:sz w:val="22"/>
          <w:szCs w:val="22"/>
          <w:color w:val="auto"/>
        </w:rPr>
      </w:pPr>
    </w:p>
    <w:p>
      <w:pPr>
        <w:ind w:left="-460" w:firstLine="644"/>
        <w:spacing w:after="0" w:line="271" w:lineRule="auto"/>
        <w:tabs>
          <w:tab w:leader="none" w:pos="84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to the extent made using Capital Stock of the Company (other than Disqualified Stock), Subordinated Shareholder Funding or Capital Stock of any Parent as consideration;</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7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to the extent constituting an Investment that is permitted and made in accordance with Section 4.11(b) (except those described in Sections 4.11(b)(1), 4.11(b)(3), 4.11(b)(6), 4.11(b)(8), 4.11(b)(9) and 4.11(b) (12));</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6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purchases and acquisitions of inventory, supplies, materials and equipment or licenses or leases of intellectual property, in any case, in the ordinary course of business and in accordance with this Indenture;</w:t>
      </w:r>
    </w:p>
    <w:p>
      <w:pPr>
        <w:sectPr>
          <w:pgSz w:w="11900" w:h="16838" w:orient="portrait"/>
          <w:cols w:equalWidth="0" w:num="1">
            <w:col w:w="10120"/>
          </w:cols>
          <w:pgMar w:left="1440" w:top="1422" w:right="339" w:bottom="1440" w:gutter="0" w:footer="0" w:header="0"/>
        </w:sectPr>
      </w:pPr>
    </w:p>
    <w:bookmarkStart w:id="39" w:name="page40"/>
    <w:bookmarkEnd w:id="39"/>
    <w:p>
      <w:pPr>
        <w:ind w:left="-460" w:right="20" w:firstLine="644"/>
        <w:spacing w:after="0" w:line="271" w:lineRule="auto"/>
        <w:tabs>
          <w:tab w:leader="none" w:pos="93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not prohibited by Section 4.09 and (other than with respect to Indebtedness) guarantees, keepwells and similar arrangements in the ordinary course of business;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77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Associates or Unrestricted Subsidiaries in an aggregate amount when taken together with all other Investments made pursuant to this clause (17) that are at the time outstanding not to exceed the greater of 3.0% of Total Assets and $160.0 million;</w:t>
      </w:r>
    </w:p>
    <w:p>
      <w:pPr>
        <w:spacing w:after="0" w:line="167"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Notes, the Existing Secured Notes and any Additional Notes; and</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9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acquired after the Issue Date as a result of the acquisition by the Company or any of its Restricted Subsidiaries of another Person, including by way of a merger, amalgamation or consolidation with or into the Company or any of its Restricted Subsidiaries in a transaction that is not prohibited by Section 5.01 to the extent that such Investments were not made in contemplation of such acquisition, merger, amalgamation or consolidation.</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with respect to any Person:</w:t>
      </w:r>
    </w:p>
    <w:p>
      <w:pPr>
        <w:spacing w:after="0" w:line="220" w:lineRule="exact"/>
        <w:rPr>
          <w:sz w:val="20"/>
          <w:szCs w:val="20"/>
          <w:color w:val="auto"/>
        </w:rPr>
      </w:pPr>
    </w:p>
    <w:p>
      <w:pPr>
        <w:ind w:left="-460" w:right="20" w:firstLine="644"/>
        <w:spacing w:after="0" w:line="271" w:lineRule="auto"/>
        <w:tabs>
          <w:tab w:leader="none" w:pos="71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a Restricted Subsidiary that is not a Guarantor securing Indebtedness of any Restricted Subsidiary that is not a Guarantor;</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52" w:lineRule="auto"/>
        <w:tabs>
          <w:tab w:leader="none" w:pos="8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deposits or Liens under workmen’s compensation laws, unemployment insurance laws, social security laws or similar legislation, or 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guarantees of government contracts (or other similar bonds, instruments or obligations), or as security for contested Taxes or import or customs duties or for the payment of rent, or other obligations of like nature, in each case Incurred in the ordinary course of business;</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57" w:lineRule="auto"/>
        <w:tabs>
          <w:tab w:leader="none" w:pos="81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including carriers’, warehousemen’s, mechanics’, landlords’, materialmen’s and repairmen’s or other like Liens, in each case for sums not yet overdue for a period of more than 60 days or that are bonded or being contested in good faith by appropriate proceedings;</w:t>
      </w:r>
    </w:p>
    <w:p>
      <w:pPr>
        <w:spacing w:after="0" w:line="172" w:lineRule="exact"/>
        <w:rPr>
          <w:rFonts w:ascii="Times New Roman" w:cs="Times New Roman" w:eastAsia="Times New Roman" w:hAnsi="Times New Roman"/>
          <w:sz w:val="22"/>
          <w:szCs w:val="22"/>
          <w:color w:val="auto"/>
        </w:rPr>
      </w:pPr>
    </w:p>
    <w:p>
      <w:pPr>
        <w:ind w:left="-460" w:firstLine="644"/>
        <w:spacing w:after="0" w:line="284" w:lineRule="auto"/>
        <w:tabs>
          <w:tab w:leader="none" w:pos="72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not yet delinquent or which are being contested in good faith by appropriate proceedings; provided that appropriate reserves required pursuant to GAAP have been made in respect thereof;</w:t>
      </w:r>
    </w:p>
    <w:p>
      <w:pPr>
        <w:spacing w:after="0" w:line="143" w:lineRule="exact"/>
        <w:rPr>
          <w:rFonts w:ascii="Times New Roman" w:cs="Times New Roman" w:eastAsia="Times New Roman" w:hAnsi="Times New Roman"/>
          <w:sz w:val="22"/>
          <w:szCs w:val="22"/>
          <w:color w:val="auto"/>
        </w:rPr>
      </w:pPr>
    </w:p>
    <w:p>
      <w:pPr>
        <w:ind w:left="-460" w:firstLine="644"/>
        <w:spacing w:after="0" w:line="271" w:lineRule="auto"/>
        <w:tabs>
          <w:tab w:leader="none" w:pos="7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issuers of surety, performance or other bonds, guarantees or letters of credit or bankers’ acceptances (not issued to support Indebtedness for</w:t>
      </w:r>
    </w:p>
    <w:p>
      <w:pPr>
        <w:sectPr>
          <w:pgSz w:w="11900" w:h="16838" w:orient="portrait"/>
          <w:cols w:equalWidth="0" w:num="1">
            <w:col w:w="10120"/>
          </w:cols>
          <w:pgMar w:left="1440" w:top="1422" w:right="339" w:bottom="1440" w:gutter="0" w:footer="0" w:header="0"/>
        </w:sectPr>
      </w:pPr>
    </w:p>
    <w:bookmarkStart w:id="40" w:name="page41"/>
    <w:bookmarkEnd w:id="40"/>
    <w:p>
      <w:pPr>
        <w:ind w:right="20"/>
        <w:spacing w:after="0" w:line="271" w:lineRule="auto"/>
        <w:rPr>
          <w:sz w:val="20"/>
          <w:szCs w:val="20"/>
          <w:color w:val="auto"/>
        </w:rPr>
      </w:pPr>
      <w:r>
        <w:rPr>
          <w:rFonts w:ascii="Times New Roman" w:cs="Times New Roman" w:eastAsia="Times New Roman" w:hAnsi="Times New Roman"/>
          <w:sz w:val="22"/>
          <w:szCs w:val="22"/>
          <w:color w:val="auto"/>
        </w:rPr>
        <w:t>borrowed money) issued pursuant to the request of and for the account of the Company or any Restricted Subsidiary in the ordinary course of its business;</w:t>
      </w:r>
    </w:p>
    <w:p>
      <w:pPr>
        <w:spacing w:after="0" w:line="158" w:lineRule="exact"/>
        <w:rPr>
          <w:sz w:val="20"/>
          <w:szCs w:val="20"/>
          <w:color w:val="auto"/>
        </w:rPr>
      </w:pPr>
    </w:p>
    <w:p>
      <w:pPr>
        <w:jc w:val="both"/>
        <w:ind w:firstLine="644"/>
        <w:spacing w:after="0" w:line="252" w:lineRule="auto"/>
        <w:tabs>
          <w:tab w:leader="none" w:pos="11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ground leases, easements (including reciprocal easement agreements), survey exceptions, or reservations of, or rights of others for, licenses, rights of way, sewers, electric lines, telegraph and telephone lines and other similar purposes, or zoning, building codes or other restrictions (including minor defects or irregularities in title and similar encumbrances) as to the use of real properties or Liens incidental to the conduct of the business of the Company and its Restricted Subsidiaries or to the ownership of its properties which do not in the aggregate materially adversely affect the value of said properties or materially impair their use in the operation of the business of the Company and its Restricted Subsidiaries;</w:t>
      </w:r>
    </w:p>
    <w:p>
      <w:pPr>
        <w:spacing w:after="0" w:line="179" w:lineRule="exact"/>
        <w:rPr>
          <w:rFonts w:ascii="Times New Roman" w:cs="Times New Roman" w:eastAsia="Times New Roman" w:hAnsi="Times New Roman"/>
          <w:sz w:val="22"/>
          <w:szCs w:val="22"/>
          <w:color w:val="auto"/>
        </w:rPr>
      </w:pPr>
    </w:p>
    <w:p>
      <w:pPr>
        <w:ind w:firstLine="644"/>
        <w:spacing w:after="0" w:line="271" w:lineRule="auto"/>
        <w:tabs>
          <w:tab w:leader="none" w:pos="12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the Company or any Restricted Subsidiary securing Hedging Obligations permitted under this Indenture;</w:t>
      </w:r>
    </w:p>
    <w:p>
      <w:pPr>
        <w:spacing w:after="0" w:line="157" w:lineRule="exact"/>
        <w:rPr>
          <w:rFonts w:ascii="Times New Roman" w:cs="Times New Roman" w:eastAsia="Times New Roman" w:hAnsi="Times New Roman"/>
          <w:sz w:val="22"/>
          <w:szCs w:val="22"/>
          <w:color w:val="auto"/>
        </w:rPr>
      </w:pPr>
    </w:p>
    <w:p>
      <w:pPr>
        <w:ind w:firstLine="644"/>
        <w:spacing w:after="0" w:line="271" w:lineRule="auto"/>
        <w:tabs>
          <w:tab w:leader="none" w:pos="113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licenses, subleases and sublicenses of assets (including real property and intellectual property rights), in each case entered into in the ordinary course of business;</w:t>
      </w:r>
    </w:p>
    <w:p>
      <w:pPr>
        <w:spacing w:after="0" w:line="157" w:lineRule="exact"/>
        <w:rPr>
          <w:rFonts w:ascii="Times New Roman" w:cs="Times New Roman" w:eastAsia="Times New Roman" w:hAnsi="Times New Roman"/>
          <w:sz w:val="22"/>
          <w:szCs w:val="22"/>
          <w:color w:val="auto"/>
        </w:rPr>
      </w:pPr>
    </w:p>
    <w:p>
      <w:pPr>
        <w:jc w:val="both"/>
        <w:ind w:firstLine="644"/>
        <w:spacing w:after="0" w:line="263" w:lineRule="auto"/>
        <w:tabs>
          <w:tab w:leader="none" w:pos="117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judgments, decrees, orders or awards not giving rise to an Event of Default so long as any appropriate legal proceedings which may have been duly initiated for the review of such judgment, decree, order or award have not been finally terminated or the period within which such proceedings may be initiated has not expired;</w:t>
      </w:r>
    </w:p>
    <w:p>
      <w:pPr>
        <w:spacing w:after="0" w:line="167" w:lineRule="exact"/>
        <w:rPr>
          <w:rFonts w:ascii="Times New Roman" w:cs="Times New Roman" w:eastAsia="Times New Roman" w:hAnsi="Times New Roman"/>
          <w:sz w:val="22"/>
          <w:szCs w:val="22"/>
          <w:color w:val="auto"/>
        </w:rPr>
      </w:pPr>
    </w:p>
    <w:p>
      <w:pPr>
        <w:jc w:val="both"/>
        <w:ind w:firstLine="644"/>
        <w:spacing w:after="0" w:line="250" w:lineRule="auto"/>
        <w:tabs>
          <w:tab w:leader="none" w:pos="1362"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the Company or any Restricted Subsidiary for the purpose of securing Capitalized Lease Obligations or Purchase Money Obligations, or securing the payment of all or a part of the purchase price of, or securing other Indebtedness Incurred to finance or refinance the acquisition, improvement or construction of, assets or property; provided that (a) the aggregate principal amount of Indebtedness secured by such Liens is otherwise permitted to be Incurred under this Indenture and (b) any such Lien may not extend to any assets or property of the Company or any Restricted Subsidiary other than assets or property acquired, improved, constructed or leased with the proceeds of such Indebtedness and any improvements or accessions to such assets and property;</w:t>
      </w:r>
    </w:p>
    <w:p>
      <w:pPr>
        <w:spacing w:after="0" w:line="180" w:lineRule="exact"/>
        <w:rPr>
          <w:rFonts w:ascii="Times New Roman" w:cs="Times New Roman" w:eastAsia="Times New Roman" w:hAnsi="Times New Roman"/>
          <w:sz w:val="22"/>
          <w:szCs w:val="22"/>
          <w:color w:val="auto"/>
        </w:rPr>
      </w:pPr>
    </w:p>
    <w:p>
      <w:pPr>
        <w:jc w:val="both"/>
        <w:ind w:firstLine="644"/>
        <w:spacing w:after="0" w:line="263" w:lineRule="auto"/>
        <w:tabs>
          <w:tab w:leader="none" w:pos="124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any statutory or common law provisions relating to banker’s Liens, rights of set-off or similar rights and remedies as to deposit accounts or other funds maintained with a depositary or financial institution;</w:t>
      </w:r>
    </w:p>
    <w:p>
      <w:pPr>
        <w:spacing w:after="0" w:line="167" w:lineRule="exact"/>
        <w:rPr>
          <w:rFonts w:ascii="Times New Roman" w:cs="Times New Roman" w:eastAsia="Times New Roman" w:hAnsi="Times New Roman"/>
          <w:sz w:val="22"/>
          <w:szCs w:val="22"/>
          <w:color w:val="auto"/>
        </w:rPr>
      </w:pPr>
    </w:p>
    <w:p>
      <w:pPr>
        <w:jc w:val="both"/>
        <w:ind w:firstLine="644"/>
        <w:spacing w:after="0" w:line="257" w:lineRule="auto"/>
        <w:tabs>
          <w:tab w:leader="none" w:pos="138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Uniform Commercial Code financing statement filings (or similar filings in other applicable jurisdictions) regarding operating leases entered into by the Company and its Restricted Subsidiaries in the ordinary course of business;</w:t>
      </w:r>
    </w:p>
    <w:p>
      <w:pPr>
        <w:sectPr>
          <w:pgSz w:w="11900" w:h="16838" w:orient="portrait"/>
          <w:cols w:equalWidth="0" w:num="1">
            <w:col w:w="10580"/>
          </w:cols>
          <w:pgMar w:left="980" w:top="1422" w:right="339" w:bottom="1440" w:gutter="0" w:footer="0" w:header="0"/>
        </w:sectPr>
      </w:pPr>
    </w:p>
    <w:bookmarkStart w:id="41" w:name="page42"/>
    <w:bookmarkEnd w:id="41"/>
    <w:p>
      <w:pPr>
        <w:ind w:left="-460" w:firstLine="644"/>
        <w:spacing w:after="0" w:line="271" w:lineRule="auto"/>
        <w:tabs>
          <w:tab w:leader="none" w:pos="7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or provided for or required to be granted under written agreements existing on, the Issue Date after giving effect to the Transactions;</w:t>
      </w:r>
    </w:p>
    <w:p>
      <w:pPr>
        <w:spacing w:after="0" w:line="157" w:lineRule="exact"/>
        <w:rPr>
          <w:rFonts w:ascii="Times New Roman" w:cs="Times New Roman" w:eastAsia="Times New Roman" w:hAnsi="Times New Roman"/>
          <w:sz w:val="22"/>
          <w:szCs w:val="22"/>
          <w:color w:val="auto"/>
        </w:rPr>
      </w:pPr>
    </w:p>
    <w:p>
      <w:pPr>
        <w:jc w:val="both"/>
        <w:ind w:left="-460" w:firstLine="644"/>
        <w:spacing w:after="0" w:line="264" w:lineRule="auto"/>
        <w:tabs>
          <w:tab w:leader="none" w:pos="79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property, other assets or shares of stock of a Person at the time such Person becomes a Restricted Subsidiary (or at the time the Company or a Restricted Subsidiary acquires such property, other assets or shares of stock, including any acquisition by means of a merger, consolidation or other business combination transaction with or into the Company or any Restricted Subsidiary); provided, however, that such Liens are not created, Incurred or assumed in anticipation of or in connection with such other Person becoming a Restricted Subsidiary (or such acquisition of such property, other assets or stock); provided further, that such Liens do not extend to or cover any property or assets of the Company and its Restricted Subsidiaries other than (a) the property or assets acquired or (b) the property or assets of the Person acquired, merged with or into or consolidated or combined with the Company or a Restricted Subsidiary;</w:t>
      </w:r>
    </w:p>
    <w:p>
      <w:pPr>
        <w:spacing w:after="0" w:line="169" w:lineRule="exact"/>
        <w:rPr>
          <w:rFonts w:ascii="Times New Roman" w:cs="Times New Roman" w:eastAsia="Times New Roman" w:hAnsi="Times New Roman"/>
          <w:sz w:val="21"/>
          <w:szCs w:val="21"/>
          <w:color w:val="auto"/>
        </w:rPr>
      </w:pPr>
    </w:p>
    <w:p>
      <w:pPr>
        <w:jc w:val="both"/>
        <w:ind w:left="-460" w:firstLine="644"/>
        <w:spacing w:after="0" w:line="257" w:lineRule="auto"/>
        <w:tabs>
          <w:tab w:leader="none" w:pos="84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assets or property of the Company or any Restricted Subsidiary securing Indebtedness or other obligations of the Company or such Restricted Subsidiary owing to the Company or another Restricted Subsidiary, or Liens in favor of the Company or any Restricted Subsidiary;</w:t>
      </w:r>
    </w:p>
    <w:p>
      <w:pPr>
        <w:spacing w:after="0" w:line="172" w:lineRule="exact"/>
        <w:rPr>
          <w:rFonts w:ascii="Times New Roman" w:cs="Times New Roman" w:eastAsia="Times New Roman" w:hAnsi="Times New Roman"/>
          <w:sz w:val="22"/>
          <w:szCs w:val="22"/>
          <w:color w:val="auto"/>
        </w:rPr>
      </w:pPr>
    </w:p>
    <w:p>
      <w:pPr>
        <w:jc w:val="both"/>
        <w:ind w:left="-460" w:firstLine="644"/>
        <w:spacing w:after="0" w:line="251" w:lineRule="auto"/>
        <w:tabs>
          <w:tab w:leader="none" w:pos="90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(other than Permitted Collateral Liens) securing Refinancing Indebtedness Incurred to refinance Indebtedness that was previously so secured, and permitted to be secured under this Indenture; provided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or is in respect of property that is or could be the security for or subject to a Permitted Lien hereunder;</w:t>
      </w:r>
    </w:p>
    <w:p>
      <w:pPr>
        <w:spacing w:after="0" w:line="194" w:lineRule="exact"/>
        <w:rPr>
          <w:rFonts w:ascii="Times New Roman" w:cs="Times New Roman" w:eastAsia="Times New Roman" w:hAnsi="Times New Roman"/>
          <w:sz w:val="22"/>
          <w:szCs w:val="22"/>
          <w:color w:val="auto"/>
        </w:rPr>
      </w:pPr>
    </w:p>
    <w:p>
      <w:pPr>
        <w:ind w:left="760" w:hanging="576"/>
        <w:spacing w:after="0"/>
        <w:tabs>
          <w:tab w:leader="none" w:pos="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or title of a lessor under any Capitalized Lease Obligation or operating lease;</w:t>
      </w:r>
    </w:p>
    <w:p>
      <w:pPr>
        <w:spacing w:after="0" w:line="219" w:lineRule="exact"/>
        <w:rPr>
          <w:rFonts w:ascii="Times New Roman" w:cs="Times New Roman" w:eastAsia="Times New Roman" w:hAnsi="Times New Roman"/>
          <w:sz w:val="22"/>
          <w:szCs w:val="22"/>
          <w:color w:val="auto"/>
        </w:rPr>
      </w:pPr>
    </w:p>
    <w:p>
      <w:pPr>
        <w:jc w:val="both"/>
        <w:ind w:left="-460" w:firstLine="644"/>
        <w:spacing w:after="0" w:line="253" w:lineRule="auto"/>
        <w:tabs>
          <w:tab w:leader="none" w:pos="80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mortgages, liens, security interests, restrictions, encumbrances or any other matters of record that have been placed by any government, statutory or regulatory authority, developer, landlord or other third party on property over which the Company or any Restricted Subsidiary has easement rights or on any leased property and subordination or similar arrangements relating thereto and (b) any condemnation or eminent domain proceedings affecting any real property;</w:t>
      </w:r>
    </w:p>
    <w:p>
      <w:pPr>
        <w:spacing w:after="0" w:line="178" w:lineRule="exact"/>
        <w:rPr>
          <w:rFonts w:ascii="Times New Roman" w:cs="Times New Roman" w:eastAsia="Times New Roman" w:hAnsi="Times New Roman"/>
          <w:sz w:val="22"/>
          <w:szCs w:val="22"/>
          <w:color w:val="auto"/>
        </w:rPr>
      </w:pPr>
    </w:p>
    <w:p>
      <w:pPr>
        <w:ind w:left="-460" w:firstLine="644"/>
        <w:spacing w:after="0" w:line="271" w:lineRule="auto"/>
        <w:tabs>
          <w:tab w:leader="none" w:pos="81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(including put and call arrangements) with respect to Capital Stock of any joint venture or similar arrangement pursuant to any joint venture or similar agreement;</w:t>
      </w:r>
    </w:p>
    <w:p>
      <w:pPr>
        <w:sectPr>
          <w:pgSz w:w="11900" w:h="16838" w:orient="portrait"/>
          <w:cols w:equalWidth="0" w:num="1">
            <w:col w:w="10120"/>
          </w:cols>
          <w:pgMar w:left="1440" w:top="1422" w:right="339" w:bottom="1440" w:gutter="0" w:footer="0" w:header="0"/>
        </w:sectPr>
      </w:pPr>
    </w:p>
    <w:bookmarkStart w:id="42" w:name="page43"/>
    <w:bookmarkEnd w:id="42"/>
    <w:p>
      <w:pPr>
        <w:ind w:left="660" w:firstLine="644"/>
        <w:spacing w:after="0" w:line="271" w:lineRule="auto"/>
        <w:tabs>
          <w:tab w:leader="none" w:pos="193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3" w:lineRule="auto"/>
        <w:tabs>
          <w:tab w:leader="none" w:pos="193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Escrowed Proceeds for the benefit of the related holders of debt securities or other Indebtedness (or the underwriters or arrangers thereof) or on cash set aside at the time of the Incurrence of any Indebtedness or government securities purchased with such cash, in either case to the extent such cash or government securities prefund the payment of interest on such Indebtedness and are held in an escrow account or similar arrangement to be applied for such purpose;</w:t>
      </w:r>
    </w:p>
    <w:p>
      <w:pPr>
        <w:spacing w:after="0" w:line="178" w:lineRule="exact"/>
        <w:rPr>
          <w:rFonts w:ascii="Times New Roman" w:cs="Times New Roman" w:eastAsia="Times New Roman" w:hAnsi="Times New Roman"/>
          <w:sz w:val="22"/>
          <w:szCs w:val="22"/>
          <w:color w:val="auto"/>
        </w:rPr>
      </w:pPr>
    </w:p>
    <w:p>
      <w:pPr>
        <w:ind w:left="660" w:firstLine="644"/>
        <w:spacing w:after="0" w:line="284" w:lineRule="auto"/>
        <w:tabs>
          <w:tab w:leader="none" w:pos="189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or arising by reason of any netting or set-off arrangement entered into in the ordinary course of banking or other trading activities, or liens over cash accounts securing cash pooling arrangements;</w:t>
      </w:r>
    </w:p>
    <w:p>
      <w:pPr>
        <w:spacing w:after="0" w:line="143"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0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hire purchase, consignment or similar arrangements for the sale of goods entered into in the ordinary course of business;</w:t>
      </w:r>
    </w:p>
    <w:p>
      <w:pPr>
        <w:spacing w:after="0" w:line="15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which do not exceed $100.0 million at any one time outstanding;</w:t>
      </w:r>
    </w:p>
    <w:p>
      <w:pPr>
        <w:spacing w:after="0" w:line="219" w:lineRule="exact"/>
        <w:rPr>
          <w:rFonts w:ascii="Times New Roman" w:cs="Times New Roman" w:eastAsia="Times New Roman" w:hAnsi="Times New Roman"/>
          <w:sz w:val="22"/>
          <w:szCs w:val="22"/>
          <w:color w:val="auto"/>
        </w:rPr>
      </w:pPr>
    </w:p>
    <w:p>
      <w:pPr>
        <w:ind w:left="2040" w:hanging="736"/>
        <w:spacing w:after="0"/>
        <w:tabs>
          <w:tab w:leader="none" w:pos="20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Capital Stock of any Unrestricted Subsidiary that secure Indebtedness of such Unrestricted</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209"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9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Permitted Purchase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Lien is only over the assets and Capital Stock of the relevant Permitted Purchase Obligations SPV;</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3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Right to Collect Accounts, performing accounts, sub-performing accounts, charged-off accounts, cash and bank accounts, loans, receivables, mortgages, debentures, claims or other similar assets or instruments held on trust for third parties; and</w:t>
      </w:r>
    </w:p>
    <w:p>
      <w:pPr>
        <w:spacing w:after="0" w:line="186" w:lineRule="exact"/>
        <w:rPr>
          <w:rFonts w:ascii="Times New Roman" w:cs="Times New Roman" w:eastAsia="Times New Roman" w:hAnsi="Times New Roman"/>
          <w:sz w:val="22"/>
          <w:szCs w:val="22"/>
          <w:color w:val="auto"/>
        </w:rPr>
      </w:pPr>
    </w:p>
    <w:p>
      <w:pPr>
        <w:ind w:left="660" w:firstLine="644"/>
        <w:spacing w:after="0" w:line="271" w:lineRule="auto"/>
        <w:tabs>
          <w:tab w:leader="none" w:pos="204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Trust Management Assets; provided that such Liens do not secure any Indebtedness of the Company or any Restricted Subsidiary other than a Trust Management SPV.</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Purchase Obligations</w:t>
      </w:r>
      <w:r>
        <w:rPr>
          <w:rFonts w:ascii="Times New Roman" w:cs="Times New Roman" w:eastAsia="Times New Roman" w:hAnsi="Times New Roman"/>
          <w:sz w:val="22"/>
          <w:szCs w:val="22"/>
          <w:color w:val="auto"/>
        </w:rPr>
        <w:t>” means any Indebtedness Incurred by a Permitted Purchase Obligations SPV to finance or refinance the acquisition of performing, sub-performing or charged-off accounts, loans, receivables, mortgages, debentures or claims or other similar assets or instruments or portfolios thereof (including through the use of Right to Collect Accounts) purchased by such Permitted Purchase Obligations SPV, whether directly or through the acquisition of the Capital Stock of any Person owning such assets or otherwise, in an aggregate principal amount not exceeding at the time of the incurrence of such Permitted Purchase Obligations, together with any other Indebtedness incurred pursuant to Section 4.09(b)(12) and then outstanding, the greater of (i) $1,680.0 million and (ii) 20.0% of the ERC,</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calculated in good faith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by management as of the date of purchase of such performing, sub-performing or charged-off accounts, loans, receivables, mortgages, debentures or claims or other similar assets or instruments or such portfolios (including through the use of Right to Collect Accounts),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86" w:lineRule="exact"/>
        <w:rPr>
          <w:sz w:val="20"/>
          <w:szCs w:val="20"/>
          <w:color w:val="auto"/>
        </w:rPr>
      </w:pPr>
    </w:p>
    <w:p>
      <w:pPr>
        <w:jc w:val="both"/>
        <w:ind w:left="660" w:firstLine="644"/>
        <w:spacing w:after="0" w:line="265" w:lineRule="auto"/>
        <w:tabs>
          <w:tab w:leader="none" w:pos="178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granting of a Lien described in clause (26) of the definition of “Permitted Liens,” no portion of any Permitted Purchase Obligations or any other obligations (contingent or otherwise) of the applicable Permitted Purchase Obligations SPV (i) is guaranteed by the Company or any other Restricted Subsidiary, (ii) is recourse to or obligates the Company or any other Restricted Subsidiary in any way, or (iii) subjects any property or asset of the Company or any other Restricted Subsidiary, directly or indirectly, contingently or otherwise, to the satisfaction thereof;</w:t>
      </w:r>
    </w:p>
    <w:p>
      <w:pPr>
        <w:spacing w:after="0" w:line="178" w:lineRule="exact"/>
        <w:rPr>
          <w:rFonts w:ascii="Times New Roman" w:cs="Times New Roman" w:eastAsia="Times New Roman" w:hAnsi="Times New Roman"/>
          <w:sz w:val="21"/>
          <w:szCs w:val="21"/>
          <w:color w:val="auto"/>
        </w:rPr>
      </w:pPr>
    </w:p>
    <w:p>
      <w:pPr>
        <w:jc w:val="both"/>
        <w:ind w:left="660" w:firstLine="644"/>
        <w:spacing w:after="0" w:line="257" w:lineRule="auto"/>
        <w:tabs>
          <w:tab w:leader="none" w:pos="188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other Restricted Subsidiary has any obligation to maintain or preserve the applicable Permitted Purchase Obligations SPV’s financial condition or cause such entity to achieve certain levels of operating results; and</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4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Permitted Purchase Obligation is secured (if at all) only over the assets of, and Capital Stock of, the relevant Permitted Purchase Obligations SPV.</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Purchase Obligations SPV</w:t>
      </w:r>
      <w:r>
        <w:rPr>
          <w:rFonts w:ascii="Times New Roman" w:cs="Times New Roman" w:eastAsia="Times New Roman" w:hAnsi="Times New Roman"/>
          <w:sz w:val="22"/>
          <w:szCs w:val="22"/>
          <w:color w:val="auto"/>
        </w:rPr>
        <w:t>” means a Wholly Owned Restricted Subsidiary (i) which engages in no activities other than the acquisition of performing, sub-performing or charged-off accounts, loans, receivables, mortgages, debentures or claims, or other similar assets or instruments or portfolios thereof (including through the use of Right to Collect Accounts), the Incurrence of Permitted Purchase Obligations to finance such acquisition and any business or activities incidental or related to such business and is set up in connection with the Incurrence of Permitted Purchase Obligations, (ii) to which the Company or any Restricted Subsidiary contributes, loans or otherwise transfers no amounts in excess of amounts required, after giving effect to the Incurrence of Permitted Purchase Obligations, to consummate the relevant purchase of assets and amounts required for incidental expenses, costs and fees for the set-up and continuing operations of such Permitted Purchase Obligations SPV, and (iii) all the Capital Stock of which is held by a Wholly Owned Restricted Subsidiary which holds no other material assets.</w:t>
      </w:r>
    </w:p>
    <w:p>
      <w:pPr>
        <w:spacing w:after="0" w:line="18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67"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Portfolio ERC Model</w:t>
      </w:r>
      <w:r>
        <w:rPr>
          <w:rFonts w:ascii="Times New Roman" w:cs="Times New Roman" w:eastAsia="Times New Roman" w:hAnsi="Times New Roman"/>
          <w:sz w:val="22"/>
          <w:szCs w:val="22"/>
          <w:color w:val="auto"/>
        </w:rPr>
        <w:t>” means the models and methodologies that the Company uses to calculate the value of its loan portfolios and those of its Subsidiaries, consistently with its most recent audited financial statements as of such date of determination.</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ectPr>
          <w:pgSz w:w="11900" w:h="16838" w:orient="portrait"/>
          <w:cols w:equalWidth="0" w:num="1">
            <w:col w:w="11240"/>
          </w:cols>
          <w:pgMar w:left="320" w:top="1422" w:right="339" w:bottom="1440" w:gutter="0" w:footer="0" w:header="0"/>
        </w:sectPr>
      </w:pPr>
    </w:p>
    <w:bookmarkStart w:id="44" w:name="page45"/>
    <w:bookmarkEnd w:id="44"/>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Priority Hedging Obligations</w:t>
      </w:r>
      <w:r>
        <w:rPr>
          <w:rFonts w:ascii="Times New Roman" w:cs="Times New Roman" w:eastAsia="Times New Roman" w:hAnsi="Times New Roman"/>
          <w:sz w:val="22"/>
          <w:szCs w:val="22"/>
          <w:color w:val="auto"/>
        </w:rPr>
        <w:t>” means designated Hedging Obligations in an aggregate amount outstanding at any time of up to $150.0 million.</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Private Placement Legend</w:t>
      </w:r>
      <w:r>
        <w:rPr>
          <w:rFonts w:ascii="Times New Roman" w:cs="Times New Roman" w:eastAsia="Times New Roman" w:hAnsi="Times New Roman"/>
          <w:sz w:val="22"/>
          <w:szCs w:val="22"/>
          <w:color w:val="auto"/>
        </w:rPr>
        <w:t>” means the legend set forth in Section 2.06(g)(1) to be placed on all Notes issued under this Indenture except where otherwise permitted by the provisions of this Indenture.</w:t>
      </w:r>
    </w:p>
    <w:p>
      <w:pPr>
        <w:spacing w:after="0" w:line="14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Debt</w:t>
      </w:r>
      <w:r>
        <w:rPr>
          <w:rFonts w:ascii="Times New Roman" w:cs="Times New Roman" w:eastAsia="Times New Roman" w:hAnsi="Times New Roman"/>
          <w:sz w:val="22"/>
          <w:szCs w:val="22"/>
          <w:color w:val="auto"/>
        </w:rPr>
        <w:t>” means any Indebtedness consisting of bonds, debentures, notes or other similar debt securities issued in (1) a public offering registered under the Securities Act or (2) a private placement to institutional and other investors, in each case, that are not Affiliates of the Company, in accordance with Section 4(a)(2) of and/or Rule 144A or Regulation S under the Securities Act, whether or not it includes registration rights entitling the holders of such debt securities to registration thereof with the SEC for public resale.</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Public Offering</w:t>
      </w:r>
      <w:r>
        <w:rPr>
          <w:rFonts w:ascii="Times New Roman" w:cs="Times New Roman" w:eastAsia="Times New Roman" w:hAnsi="Times New Roman"/>
          <w:sz w:val="22"/>
          <w:szCs w:val="22"/>
          <w:color w:val="auto"/>
        </w:rPr>
        <w:t>” means any offering of shares of common stock or other common equity interests that are listed on an exchange or publicly offered (which shall include an offering pursuant to Rule 144A and/or Regulation S under the Securities Act to professional market investors or similar persons).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Money Obligations</w:t>
      </w:r>
      <w:r>
        <w:rPr>
          <w:rFonts w:ascii="Times New Roman" w:cs="Times New Roman" w:eastAsia="Times New Roman" w:hAnsi="Times New Roman"/>
          <w:sz w:val="22"/>
          <w:szCs w:val="22"/>
          <w:color w:val="auto"/>
        </w:rPr>
        <w:t>” means any Indebtedness Incurred to finance or refinance the acquisition, leasing, construction or improvement of property (real or personal) or assets (including Capital Stock), and whether acquired through the direct acquisition of such property or assets or the acquisition of the Capital Stock of any Person owning such property or assets,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QIB</w:t>
      </w:r>
      <w:r>
        <w:rPr>
          <w:rFonts w:ascii="Times New Roman" w:cs="Times New Roman" w:eastAsia="Times New Roman" w:hAnsi="Times New Roman"/>
          <w:sz w:val="22"/>
          <w:szCs w:val="22"/>
          <w:color w:val="auto"/>
        </w:rPr>
        <w:t>” means a “qualified institutional buyer” as defined in Rule 144A.</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w:t>
      </w:r>
      <w:r>
        <w:rPr>
          <w:rFonts w:ascii="Times New Roman" w:cs="Times New Roman" w:eastAsia="Times New Roman" w:hAnsi="Times New Roman"/>
          <w:sz w:val="22"/>
          <w:szCs w:val="22"/>
          <w:color w:val="auto"/>
        </w:rPr>
        <w:t>” means a right to receive payment arising from a sale or lease of goods or services by a Person pursuant to an arrangement with another Person pursuant to which such other Person is obligated to pay for goods or services under terms that permit the purchase of such goods and services on credit, as determined on the basis of GAAP.</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refinance</w:t>
      </w:r>
      <w:r>
        <w:rPr>
          <w:rFonts w:ascii="Times New Roman" w:cs="Times New Roman" w:eastAsia="Times New Roman" w:hAnsi="Times New Roman"/>
          <w:sz w:val="22"/>
          <w:szCs w:val="22"/>
          <w:color w:val="auto"/>
        </w:rPr>
        <w:t>” means refinance, refund, replace, renew, repay, modify, restate, defer, substitute, supplement, reissue, resell, extend or increase (including pursuant to any defeasance or discharge mechanism) and the terms “</w:t>
      </w:r>
      <w:r>
        <w:rPr>
          <w:rFonts w:ascii="Times New Roman" w:cs="Times New Roman" w:eastAsia="Times New Roman" w:hAnsi="Times New Roman"/>
          <w:sz w:val="22"/>
          <w:szCs w:val="22"/>
          <w:u w:val="single" w:color="auto"/>
          <w:color w:val="auto"/>
        </w:rPr>
        <w:t>refinances,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refinanced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refinancing</w:t>
      </w:r>
      <w:r>
        <w:rPr>
          <w:rFonts w:ascii="Times New Roman" w:cs="Times New Roman" w:eastAsia="Times New Roman" w:hAnsi="Times New Roman"/>
          <w:sz w:val="22"/>
          <w:szCs w:val="22"/>
          <w:color w:val="auto"/>
        </w:rPr>
        <w:t>” as used for any purpose in this Indenture shall have a correlative meaning.</w:t>
      </w:r>
    </w:p>
    <w:p>
      <w:pPr>
        <w:spacing w:after="0" w:line="17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Refinancing Indebtedness</w:t>
      </w:r>
      <w:r>
        <w:rPr>
          <w:rFonts w:ascii="Times New Roman" w:cs="Times New Roman" w:eastAsia="Times New Roman" w:hAnsi="Times New Roman"/>
          <w:sz w:val="22"/>
          <w:szCs w:val="22"/>
          <w:color w:val="auto"/>
        </w:rPr>
        <w:t xml:space="preserve">” means Indebtedness that is Incurred to refund, refinance, replace, exchange, renew, repay or extend (including pursuant to any defeasance or discharge mechanism) any Indebtedness existing on the date of this Indenture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660" w:firstLine="644"/>
        <w:spacing w:after="0" w:line="257" w:lineRule="auto"/>
        <w:tabs>
          <w:tab w:leader="none" w:pos="186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Notes;</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0" w:lineRule="auto"/>
        <w:tabs>
          <w:tab w:leader="none" w:pos="181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w:t>
      </w:r>
    </w:p>
    <w:p>
      <w:pPr>
        <w:spacing w:after="0" w:line="194"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77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Indebtedness being refinanced is expressly subordinated to the Notes, such Refinancing Indebtedness is subordinated to the Notes on terms at least as favorable to the Holders as those contained in the documentation governing the Indebtedness being refinanced,</w:t>
      </w:r>
    </w:p>
    <w:p>
      <w:pPr>
        <w:spacing w:after="0" w:line="16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that </w:t>
      </w:r>
      <w:r>
        <w:rPr>
          <w:rFonts w:ascii="Times New Roman" w:cs="Times New Roman" w:eastAsia="Times New Roman" w:hAnsi="Times New Roman"/>
          <w:sz w:val="22"/>
          <w:szCs w:val="22"/>
          <w:color w:val="auto"/>
        </w:rPr>
        <w:t>Refinancing Indebtedness shall not include Indebtedness of the Company or a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 that refinances Indebtedness of an Unrestricted Subsidiary.</w:t>
      </w:r>
    </w:p>
    <w:p>
      <w:pPr>
        <w:spacing w:after="0" w:line="15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Refinancing Indebtedness in respect of any Credit Facility or any other Indebtedness may be Incurred within 120 days after the termination, discharge or repayment of any such Credit Facility or other Indebtedness.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w:t>
      </w:r>
      <w:r>
        <w:rPr>
          <w:rFonts w:ascii="Times New Roman" w:cs="Times New Roman" w:eastAsia="Times New Roman" w:hAnsi="Times New Roman"/>
          <w:sz w:val="22"/>
          <w:szCs w:val="22"/>
          <w:color w:val="auto"/>
        </w:rPr>
        <w:t>” means Regulation S promulgated under the Securities Act.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Regulation S Global Note</w:t>
      </w:r>
      <w:r>
        <w:rPr>
          <w:rFonts w:ascii="Times New Roman" w:cs="Times New Roman" w:eastAsia="Times New Roman" w:hAnsi="Times New Roman"/>
          <w:sz w:val="22"/>
          <w:szCs w:val="22"/>
          <w:color w:val="auto"/>
        </w:rPr>
        <w:t>” means a Global Note bearing the applicable Global Note Legend and the Private Placement Legend and deposited with or on behalf of the respective Depositary therefor and registered in the name of the respective Depositary therefor or its nominee, issued in a denomination equal to the outstanding principal amount of the Notes initially sold in reliance on Rule 903.</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Taxes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71" w:lineRule="auto"/>
        <w:tabs>
          <w:tab w:leader="none" w:pos="185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(other than (x) Taxes measured by gross or net income, receipts or profits and (y) withholding Taxes), required to be paid (provided such Taxes are in fact paid) by any Parent by virtue of its:</w:t>
      </w:r>
    </w:p>
    <w:p>
      <w:pPr>
        <w:spacing w:after="0" w:line="157" w:lineRule="exact"/>
        <w:rPr>
          <w:rFonts w:ascii="Times New Roman" w:cs="Times New Roman" w:eastAsia="Times New Roman" w:hAnsi="Times New Roman"/>
          <w:sz w:val="22"/>
          <w:szCs w:val="22"/>
          <w:color w:val="auto"/>
        </w:rPr>
      </w:pPr>
    </w:p>
    <w:p>
      <w:pPr>
        <w:jc w:val="both"/>
        <w:ind w:left="1300" w:right="20" w:firstLine="652"/>
        <w:spacing w:after="0" w:line="263" w:lineRule="auto"/>
        <w:tabs>
          <w:tab w:leader="none" w:pos="251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organized or having Capital Stock outstanding (but not by virtue of owning stock or other equity interests of any corporation or other entity other than, directly or indirectly, the Company or any of the Company’s Subsidiaries);</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issuing or holding Subordinated Shareholder Funding; or</w:t>
      </w:r>
    </w:p>
    <w:p>
      <w:pPr>
        <w:sectPr>
          <w:pgSz w:w="11900" w:h="16838" w:orient="portrait"/>
          <w:cols w:equalWidth="0" w:num="1">
            <w:col w:w="11240"/>
          </w:cols>
          <w:pgMar w:left="320" w:top="1422" w:right="339" w:bottom="1440" w:gutter="0" w:footer="0" w:header="0"/>
        </w:sectPr>
      </w:pPr>
    </w:p>
    <w:bookmarkStart w:id="46" w:name="page47"/>
    <w:bookmarkEnd w:id="46"/>
    <w:p>
      <w:pPr>
        <w:ind w:left="1300" w:firstLine="652"/>
        <w:spacing w:after="0" w:line="271" w:lineRule="auto"/>
        <w:tabs>
          <w:tab w:leader="none" w:pos="250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 holding company parent, directly or indirectly, of the Company or any of the Company’s Subsidiaries; or</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6" w:lineRule="auto"/>
        <w:tabs>
          <w:tab w:leader="none" w:pos="180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for so long as the Company is a member of a group filing a consolidated or combined tax return with any Parent, any consolidated or combined Taxes measured by income for which such Parent is liable up to an amount not to exceed the amount of any such Taxes that the Company and its Subsidiaries would have been required to pay on a separate company basis or on a consolidated basis if the Company and its Subsidiaries had paid tax on a consolidated, combined, group, affiliated or unitary basis on behalf of an affiliated group consisting only of the Company and its Subsidiaries; provided that distributions shall be permitted in respect of the income of an Unrestricted Subsidiary only to the extent such Unrestricted Subsidiary distributed cash for such purpose to the Company or its Restricted Subsidiaries.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any body which has authority to exercise any Write-down and Conversion Powers.</w:t>
      </w:r>
    </w:p>
    <w:p>
      <w:pPr>
        <w:spacing w:after="0" w:line="23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Responsible Officer</w:t>
      </w:r>
      <w:r>
        <w:rPr>
          <w:rFonts w:ascii="Times New Roman" w:cs="Times New Roman" w:eastAsia="Times New Roman" w:hAnsi="Times New Roman"/>
          <w:sz w:val="22"/>
          <w:szCs w:val="22"/>
          <w:color w:val="auto"/>
        </w:rPr>
        <w:t>” means, when used with respect to the Trustee, any officer within the applicable corporate trust services department of the Trustee, including any director, associate director, assistant secretary, trust manager, senior trust officer, Trust Officer or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Definitive Note</w:t>
      </w:r>
      <w:r>
        <w:rPr>
          <w:rFonts w:ascii="Times New Roman" w:cs="Times New Roman" w:eastAsia="Times New Roman" w:hAnsi="Times New Roman"/>
          <w:sz w:val="22"/>
          <w:szCs w:val="22"/>
          <w:color w:val="auto"/>
        </w:rPr>
        <w:t>” means a Definitive Note bearing the Private Placement Legend.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Global Note</w:t>
      </w:r>
      <w:r>
        <w:rPr>
          <w:rFonts w:ascii="Times New Roman" w:cs="Times New Roman" w:eastAsia="Times New Roman" w:hAnsi="Times New Roman"/>
          <w:sz w:val="22"/>
          <w:szCs w:val="22"/>
          <w:color w:val="auto"/>
        </w:rPr>
        <w:t>” means a Global Note bearing the Private Placement Legend.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Investment</w:t>
      </w:r>
      <w:r>
        <w:rPr>
          <w:rFonts w:ascii="Times New Roman" w:cs="Times New Roman" w:eastAsia="Times New Roman" w:hAnsi="Times New Roman"/>
          <w:sz w:val="22"/>
          <w:szCs w:val="22"/>
          <w:color w:val="auto"/>
        </w:rPr>
        <w:t>” means any Investment other than a Permitted Investment.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Subsidiary</w:t>
      </w:r>
      <w:r>
        <w:rPr>
          <w:rFonts w:ascii="Times New Roman" w:cs="Times New Roman" w:eastAsia="Times New Roman" w:hAnsi="Times New Roman"/>
          <w:sz w:val="22"/>
          <w:szCs w:val="22"/>
          <w:color w:val="auto"/>
        </w:rPr>
        <w:t>” means any Subsidiary of the Company other than an Unrestricted Subsidiary.</w:t>
      </w:r>
    </w:p>
    <w:p>
      <w:pPr>
        <w:spacing w:after="0" w:line="22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Date</w:t>
      </w:r>
      <w:r>
        <w:rPr>
          <w:rFonts w:ascii="Times New Roman" w:cs="Times New Roman" w:eastAsia="Times New Roman" w:hAnsi="Times New Roman"/>
          <w:sz w:val="22"/>
          <w:szCs w:val="22"/>
          <w:color w:val="auto"/>
        </w:rPr>
        <w:t>” means, after the Notes have achieved Investment Grade Status, the date, if any, that such Notes shall cease to have such Investment Grade Status.</w:t>
      </w:r>
    </w:p>
    <w:p>
      <w:pPr>
        <w:spacing w:after="0" w:line="15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Right to Collect Account</w:t>
      </w:r>
      <w:r>
        <w:rPr>
          <w:rFonts w:ascii="Times New Roman" w:cs="Times New Roman" w:eastAsia="Times New Roman" w:hAnsi="Times New Roman"/>
          <w:sz w:val="22"/>
          <w:szCs w:val="22"/>
          <w:color w:val="auto"/>
        </w:rPr>
        <w:t>” means a performing, sub-performing or charged-off account, loan, receivable, mortgage, debenture or claim or other similar asset or instrument that is owned by a Person that is not the Company or one of its Restricted Subsidiaries (a “Third Party”) and in respect of which (a) such Third Party is unable or unwilling to dispose of the relevant performing, sub-performing or charged-off account, loan, receivable, mortgage, debenture or claim or other similar asset or instrument to the Company or a Restricted Subsidiary; and (b) the Company or a Restricted Subsidiary is entitled to collect and retain</w:t>
      </w:r>
    </w:p>
    <w:p>
      <w:pPr>
        <w:sectPr>
          <w:pgSz w:w="11900" w:h="16838" w:orient="portrait"/>
          <w:cols w:equalWidth="0" w:num="1">
            <w:col w:w="11240"/>
          </w:cols>
          <w:pgMar w:left="320" w:top="1422" w:right="339" w:bottom="1440" w:gutter="0" w:footer="0" w:header="0"/>
        </w:sectPr>
      </w:pPr>
    </w:p>
    <w:bookmarkStart w:id="47" w:name="page48"/>
    <w:bookmarkEnd w:id="47"/>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substantially all of the amounts due under such performing, sub-performing or charged-off account, loan, receivable, mortgage, debenture or claim or other similar asset or instrument, or to receive amounts equivalent thereto.</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means Rule 144 promulgated under the Securities Act.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144A</w:t>
      </w:r>
      <w:r>
        <w:rPr>
          <w:rFonts w:ascii="Times New Roman" w:cs="Times New Roman" w:eastAsia="Times New Roman" w:hAnsi="Times New Roman"/>
          <w:sz w:val="22"/>
          <w:szCs w:val="22"/>
          <w:color w:val="auto"/>
        </w:rPr>
        <w:t>” means Rule 144A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902</w:t>
      </w:r>
      <w:r>
        <w:rPr>
          <w:rFonts w:ascii="Times New Roman" w:cs="Times New Roman" w:eastAsia="Times New Roman" w:hAnsi="Times New Roman"/>
          <w:sz w:val="22"/>
          <w:szCs w:val="22"/>
          <w:color w:val="auto"/>
        </w:rPr>
        <w:t>” means Rule 902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903</w:t>
      </w:r>
      <w:r>
        <w:rPr>
          <w:rFonts w:ascii="Times New Roman" w:cs="Times New Roman" w:eastAsia="Times New Roman" w:hAnsi="Times New Roman"/>
          <w:sz w:val="22"/>
          <w:szCs w:val="22"/>
          <w:color w:val="auto"/>
        </w:rPr>
        <w:t>” means Rule 903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904</w:t>
      </w:r>
      <w:r>
        <w:rPr>
          <w:rFonts w:ascii="Times New Roman" w:cs="Times New Roman" w:eastAsia="Times New Roman" w:hAnsi="Times New Roman"/>
          <w:sz w:val="22"/>
          <w:szCs w:val="22"/>
          <w:color w:val="auto"/>
        </w:rPr>
        <w:t>” means Rule 904 promulgated under the Securities Act.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U.S. Securities and Exchange Commission.</w:t>
      </w:r>
    </w:p>
    <w:p>
      <w:pPr>
        <w:spacing w:after="0" w:line="233"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Investors Ratings Services or any of its successors or assigns that is a Nationally Recognized Statistical Rating Organization.</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Indebtedness</w:t>
      </w:r>
      <w:r>
        <w:rPr>
          <w:rFonts w:ascii="Times New Roman" w:cs="Times New Roman" w:eastAsia="Times New Roman" w:hAnsi="Times New Roman"/>
          <w:sz w:val="22"/>
          <w:szCs w:val="22"/>
          <w:color w:val="auto"/>
        </w:rPr>
        <w:t>” means any Indebtedness secured by a Lien (other than Indebtedness Incurred pursuant to Sections 4.09(b)(3), 4.09(b)(6), 4.09(b)(8), 4.09(b)(9), 4.09(b)(10) and 4.09(b)(14)).</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U.S. Securities Act of 1933, as amended, and the rules and regulations of the SEC promulgated thereunder, as amended.</w:t>
      </w:r>
    </w:p>
    <w:p>
      <w:pPr>
        <w:spacing w:after="0" w:line="17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Agent</w:t>
      </w:r>
      <w:r>
        <w:rPr>
          <w:rFonts w:ascii="Times New Roman" w:cs="Times New Roman" w:eastAsia="Times New Roman" w:hAnsi="Times New Roman"/>
          <w:sz w:val="22"/>
          <w:szCs w:val="22"/>
          <w:color w:val="auto"/>
        </w:rPr>
        <w:t>” means Truist Bank, as security agent under the Security Documents, and shall include its successor and assigns.</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Security Documents</w:t>
      </w:r>
      <w:r>
        <w:rPr>
          <w:rFonts w:ascii="Times New Roman" w:cs="Times New Roman" w:eastAsia="Times New Roman" w:hAnsi="Times New Roman"/>
          <w:sz w:val="22"/>
          <w:szCs w:val="22"/>
          <w:color w:val="auto"/>
        </w:rPr>
        <w:t>” means the Intercreditor Agreement, the debentures, the pledge over shares agreements, the pledge over bank accounts agreements and each other document under which collateral is pledged to secure the Notes.</w:t>
      </w:r>
    </w:p>
    <w:p>
      <w:pPr>
        <w:spacing w:after="0" w:line="158"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Senior Facilities Agreement</w:t>
      </w:r>
      <w:r>
        <w:rPr>
          <w:rFonts w:ascii="Times New Roman" w:cs="Times New Roman" w:eastAsia="Times New Roman" w:hAnsi="Times New Roman"/>
          <w:sz w:val="21"/>
          <w:szCs w:val="21"/>
          <w:color w:val="auto"/>
        </w:rPr>
        <w:t>” means the senior facilities agreement originally dated September 20, 2012, as most recently amended by an amendment letter dated May 22, 2025, among the Company, Truist Bank, as agent, and the other parties named therein, as amended, amended and restated, supplemented, refinanced, replaced or otherwise modified from time to time.</w:t>
      </w:r>
    </w:p>
    <w:p>
      <w:pPr>
        <w:spacing w:after="0" w:line="15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Senior Management</w:t>
      </w:r>
      <w:r>
        <w:rPr>
          <w:rFonts w:ascii="Times New Roman" w:cs="Times New Roman" w:eastAsia="Times New Roman" w:hAnsi="Times New Roman"/>
          <w:sz w:val="22"/>
          <w:szCs w:val="22"/>
          <w:color w:val="auto"/>
        </w:rPr>
        <w:t>” means any previous or current officers, directors, and other members of senior management of the Company or any of its Subsidiaries, who at any date beneficially own or have the right to acquire, directly or indirectly, Capital Stock of the Company or any Parent.</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Restricted Subsidiary that meets any of the following conditions:</w:t>
      </w:r>
    </w:p>
    <w:p>
      <w:pPr>
        <w:sectPr>
          <w:pgSz w:w="11900" w:h="16838" w:orient="portrait"/>
          <w:cols w:equalWidth="0" w:num="1">
            <w:col w:w="11240"/>
          </w:cols>
          <w:pgMar w:left="320" w:top="1422" w:right="339" w:bottom="1440" w:gutter="0" w:footer="0" w:header="0"/>
        </w:sectPr>
      </w:pPr>
    </w:p>
    <w:bookmarkStart w:id="48" w:name="page49"/>
    <w:bookmarkEnd w:id="48"/>
    <w:p>
      <w:pPr>
        <w:jc w:val="both"/>
        <w:ind w:left="660" w:firstLine="644"/>
        <w:spacing w:after="0" w:line="257" w:lineRule="auto"/>
        <w:tabs>
          <w:tab w:leader="none" w:pos="188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and its Restricted Subsidiaries’ investments in and advances to the Restricted Subsidiary exceed 10% of the Total Assets of the Company and its Restricted Subsidiaries on a consolidated basis as of the end of the most recently completed fiscal year;</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and its Restricted Subsidiaries’ proportionate share of the Total Assets (after intercompany eliminations) of the Restricted Subsidiary exceeds 10% of the Total Assets of the Company and its Restricted Subsidiaries on a consolidated basis as of the end of the most recently completed fiscal year; or</w:t>
      </w:r>
    </w:p>
    <w:p>
      <w:pPr>
        <w:spacing w:after="0" w:line="172"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91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and its Restricted Subsidiaries’ equity in the income from continuing operations before income taxes, extraordinary items and cumulative effect of a change in accounting principle of the Restricted Subsidiary exceeds 10% of such income of the Company and its Restricted Subsidiaries on a consolidated basis for the most recently completed fiscal year.</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Similar Business</w:t>
      </w:r>
      <w:r>
        <w:rPr>
          <w:rFonts w:ascii="Times New Roman" w:cs="Times New Roman" w:eastAsia="Times New Roman" w:hAnsi="Times New Roman"/>
          <w:sz w:val="22"/>
          <w:szCs w:val="22"/>
          <w:color w:val="auto"/>
        </w:rPr>
        <w:t>” means (1) any businesses, services or activities engaged in by the Company or any of its Subsidiaries or any Associates on the Issue Date and (2) any businesses, services and activities engaged in by the Company or any of its Subsidiaries or any Associates that are related, complementary, incidental, ancillary or similar to any of the foregoing or are extensions or developments of any thereof.</w:t>
      </w:r>
    </w:p>
    <w:p>
      <w:pPr>
        <w:spacing w:after="0" w:line="19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Indebtedness</w:t>
      </w:r>
      <w:r>
        <w:rPr>
          <w:rFonts w:ascii="Times New Roman" w:cs="Times New Roman" w:eastAsia="Times New Roman" w:hAnsi="Times New Roman"/>
          <w:sz w:val="22"/>
          <w:szCs w:val="22"/>
          <w:color w:val="auto"/>
        </w:rPr>
        <w:t>” means, with respect to any person, any Indebtedness (whether outstanding on the Issue Date or thereafter Incurred) which is expressly subordinated in right of payment to the Notes pursuant to a written agreement.</w:t>
      </w:r>
    </w:p>
    <w:p>
      <w:pPr>
        <w:spacing w:after="0" w:line="16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Subordinated Shareholder Funding</w:t>
      </w:r>
      <w:r>
        <w:rPr>
          <w:rFonts w:ascii="Times New Roman" w:cs="Times New Roman" w:eastAsia="Times New Roman" w:hAnsi="Times New Roman"/>
          <w:sz w:val="22"/>
          <w:szCs w:val="22"/>
          <w:color w:val="auto"/>
        </w:rPr>
        <w:t>” means any funds provided to the Company by any Parent or any Affiliate thereof, in exchange for or pursuant to any security, instrument or agreement other than Capital Stock, in each case issued to and held by a Parent, together with any such security, instrument or agreement and any other security or instrument other than Capital Stock issued in payment of any obligation under any Subordinated Shareholder Funding; provided, however, that such Subordinated Shareholder Funding:</w:t>
      </w:r>
    </w:p>
    <w:p>
      <w:pPr>
        <w:spacing w:after="0" w:line="179" w:lineRule="exact"/>
        <w:rPr>
          <w:sz w:val="20"/>
          <w:szCs w:val="20"/>
          <w:color w:val="auto"/>
        </w:rPr>
      </w:pPr>
    </w:p>
    <w:p>
      <w:pPr>
        <w:jc w:val="both"/>
        <w:ind w:left="660" w:firstLine="644"/>
        <w:spacing w:after="0" w:line="252" w:lineRule="auto"/>
        <w:tabs>
          <w:tab w:leader="none" w:pos="17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mature or require any amortization, redemption or other repayment of principal or any sinking fund payment prior to the first anniversary of the Stated Maturity of the Notes (other than through conversion or exchange of such funding into Capital Stock (other than Disqualified Stock) of the Company or any funding meeting the requirements of this definition);</w:t>
      </w:r>
    </w:p>
    <w:p>
      <w:pPr>
        <w:sectPr>
          <w:pgSz w:w="11900" w:h="16838" w:orient="portrait"/>
          <w:cols w:equalWidth="0" w:num="1">
            <w:col w:w="11240"/>
          </w:cols>
          <w:pgMar w:left="320" w:top="1422" w:right="339" w:bottom="1440" w:gutter="0" w:footer="0" w:header="0"/>
        </w:sectPr>
      </w:pPr>
    </w:p>
    <w:bookmarkStart w:id="49" w:name="page50"/>
    <w:bookmarkEnd w:id="49"/>
    <w:p>
      <w:pPr>
        <w:ind w:left="660" w:firstLine="644"/>
        <w:spacing w:after="0" w:line="271" w:lineRule="auto"/>
        <w:tabs>
          <w:tab w:leader="none" w:pos="181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require, prior to the first anniversary of the Stated Maturity of the Notes, payment of cash interest, cash withholding amounts or other cash gross-ups, or any similar cash amounts;</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86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contains no change of control or similar provisions and does not accelerate and has no right to declare a default or event of default or take any enforcement action or otherwise require any cash payment, in each case, prior to the first anniversary of the Stated Maturity of the Notes;</w:t>
      </w:r>
    </w:p>
    <w:p>
      <w:pPr>
        <w:spacing w:after="0" w:line="167" w:lineRule="exact"/>
        <w:rPr>
          <w:rFonts w:ascii="Times New Roman" w:cs="Times New Roman" w:eastAsia="Times New Roman" w:hAnsi="Times New Roman"/>
          <w:sz w:val="22"/>
          <w:szCs w:val="22"/>
          <w:color w:val="auto"/>
        </w:rPr>
      </w:pPr>
    </w:p>
    <w:p>
      <w:pPr>
        <w:ind w:left="660" w:firstLine="644"/>
        <w:spacing w:after="0" w:line="271" w:lineRule="auto"/>
        <w:tabs>
          <w:tab w:leader="none" w:pos="178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provide for or require any security interest or encumbrance over any asset of the Company or any of its Subsidiaries; and</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63" w:lineRule="auto"/>
        <w:tabs>
          <w:tab w:leader="none" w:pos="198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its terms is fully subordinated and junior in right of payment to the Notes pursuant to subordination, payment blockage and enforcement limitation terms which are customary in all material respects for similar funding,</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occurrence of any event or circumstance that results in such Indebtedness ceasing to qualify as Subordinated Shareholder Funding, such Indebtedness shall constitute an Incurrence of such Indebtedness by the Company, and any and all Restricted Payments made through the use of the Net Cash Proceeds from the Incurrence of such Indebtedness since the date of the original issuance of such Subordinated Shareholder Funding shall constitute new Restricted Payments that are deemed to have been made after the date of the original issuance of such Subordinated Shareholder Funding.</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w:t>
      </w:r>
    </w:p>
    <w:p>
      <w:pPr>
        <w:spacing w:after="0" w:line="220" w:lineRule="exact"/>
        <w:rPr>
          <w:sz w:val="20"/>
          <w:szCs w:val="20"/>
          <w:color w:val="auto"/>
        </w:rPr>
      </w:pPr>
    </w:p>
    <w:p>
      <w:pPr>
        <w:jc w:val="both"/>
        <w:ind w:left="660" w:firstLine="644"/>
        <w:spacing w:after="0" w:line="253" w:lineRule="auto"/>
        <w:tabs>
          <w:tab w:leader="none" w:pos="1797"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17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partnership, joint venture, limited liability company or similar entity of which:</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2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176"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Person or any Subsidiary of such Person is a controlling general partner or otherwise controls</w:t>
      </w:r>
    </w:p>
    <w:p>
      <w:pPr>
        <w:spacing w:after="0" w:line="27"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entity.</w:t>
      </w:r>
    </w:p>
    <w:p>
      <w:pPr>
        <w:sectPr>
          <w:pgSz w:w="11900" w:h="16838" w:orient="portrait"/>
          <w:cols w:equalWidth="0" w:num="1">
            <w:col w:w="11240"/>
          </w:cols>
          <w:pgMar w:left="320" w:top="1422" w:right="339" w:bottom="1440" w:gutter="0" w:footer="0" w:header="0"/>
        </w:sectPr>
      </w:pPr>
    </w:p>
    <w:bookmarkStart w:id="50" w:name="page51"/>
    <w:bookmarkEnd w:id="50"/>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and future taxes, levies, imposts, deductions, charges, duties and withholdings and any charges of a similar nature (including interest, penalties and other liabilities with respect thereto) that are imposed by any government or other taxing authority.</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Temporary Cash Investments</w:t>
      </w:r>
      <w:r>
        <w:rPr>
          <w:rFonts w:ascii="Times New Roman" w:cs="Times New Roman" w:eastAsia="Times New Roman" w:hAnsi="Times New Roman"/>
          <w:sz w:val="22"/>
          <w:szCs w:val="22"/>
          <w:color w:val="auto"/>
        </w:rPr>
        <w:t>” means any of the following:</w:t>
      </w:r>
    </w:p>
    <w:p>
      <w:pPr>
        <w:spacing w:after="0" w:line="220" w:lineRule="exact"/>
        <w:rPr>
          <w:sz w:val="20"/>
          <w:szCs w:val="20"/>
          <w:color w:val="auto"/>
        </w:rPr>
      </w:pPr>
    </w:p>
    <w:p>
      <w:pPr>
        <w:ind w:left="1780" w:hanging="476"/>
        <w:spacing w:after="0"/>
        <w:tabs>
          <w:tab w:leader="none" w:pos="17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investment in:</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6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Guaranteed by, (i) the United States of America or Canada, (ii) the United Kingdom, (iii) any European Union member state, (iv) Switzerland or Norway, (v) any country in whose currency funds are being held specifically pending application in the making of an investment or capital expenditure by the Company or a Restricted Subsidiary in that country with such funds or (vi) any agency or instrumentality of any such country or member state; or</w:t>
      </w:r>
    </w:p>
    <w:p>
      <w:pPr>
        <w:spacing w:after="0" w:line="178"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86"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any country recognized by the United States of America rated at least “A” by S&amp;P or “A1” by Fitch or by Moody’s (or, in either case, the equivalent of such rating by such organization or, if no rating of S&amp;P, Fitch or Moody’s then exists, the equivalent of such rating by any Nationally Recognized Statistical Rating Organization);</w:t>
      </w:r>
    </w:p>
    <w:p>
      <w:pPr>
        <w:spacing w:after="0" w:line="192"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200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overnight bank deposits, and investments in time deposit accounts, certificates of deposit, bankers’ acceptances and money market deposits (or, with respect to foreign banks, similar instruments) maturing not more than one year after the date of acquisition thereof issued by:</w:t>
      </w:r>
    </w:p>
    <w:p>
      <w:pPr>
        <w:spacing w:after="0" w:line="172"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under the Senior Facilities Agreement,</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4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institution authorized to operate as a bank in any of the countries or member states referred to in clause (1)(a) above, or</w:t>
      </w:r>
    </w:p>
    <w:p>
      <w:pPr>
        <w:spacing w:after="0" w:line="143" w:lineRule="exact"/>
        <w:rPr>
          <w:rFonts w:ascii="Times New Roman" w:cs="Times New Roman" w:eastAsia="Times New Roman" w:hAnsi="Times New Roman"/>
          <w:sz w:val="22"/>
          <w:szCs w:val="22"/>
          <w:color w:val="auto"/>
        </w:rPr>
      </w:pPr>
    </w:p>
    <w:p>
      <w:pPr>
        <w:ind w:left="1300" w:firstLine="652"/>
        <w:spacing w:after="0" w:line="271" w:lineRule="auto"/>
        <w:tabs>
          <w:tab w:leader="none" w:pos="249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bank or trust company organized under the laws of any such country or member state or any political subdivision thereof,</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each case, having capital and surplus aggregating in excess of $250 million (or the foreign currency equivalent thereof) and whose long-term debt is rated at least “A–” by S&amp;P, “A” by Fitch or “A3” by Moody’s (or, in either case, the equivalent of such rating by such organization or, if no rating of S&amp;P, Fitch or Moody’s then exists, the equivalent of such rating by any Nationally Recognized Statistical Rating Organization) at the time such Investment is made;</w:t>
      </w:r>
    </w:p>
    <w:p>
      <w:pPr>
        <w:spacing w:after="0" w:line="176" w:lineRule="exact"/>
        <w:rPr>
          <w:sz w:val="20"/>
          <w:szCs w:val="20"/>
          <w:color w:val="auto"/>
        </w:rPr>
      </w:pPr>
    </w:p>
    <w:p>
      <w:pPr>
        <w:ind w:left="660" w:firstLine="644"/>
        <w:spacing w:after="0" w:line="271" w:lineRule="auto"/>
        <w:tabs>
          <w:tab w:leader="none" w:pos="180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obligations with a term of not more than 30 days for underlying securities of the types described in clause (1) or (2) above entered into with a Person meeting the qualifications described in clause (2) above;</w:t>
      </w:r>
    </w:p>
    <w:p>
      <w:pPr>
        <w:sectPr>
          <w:pgSz w:w="11900" w:h="16838" w:orient="portrait"/>
          <w:cols w:equalWidth="0" w:num="1">
            <w:col w:w="11240"/>
          </w:cols>
          <w:pgMar w:left="320" w:top="1422" w:right="339" w:bottom="1440" w:gutter="0" w:footer="0" w:header="0"/>
        </w:sectPr>
      </w:pPr>
    </w:p>
    <w:bookmarkStart w:id="51" w:name="page52"/>
    <w:bookmarkEnd w:id="51"/>
    <w:p>
      <w:pPr>
        <w:jc w:val="both"/>
        <w:ind w:left="660" w:firstLine="644"/>
        <w:spacing w:after="0" w:line="253" w:lineRule="auto"/>
        <w:tabs>
          <w:tab w:leader="none" w:pos="180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not more than 270 days after the date of acquisition, issued by a Person (other than the Company or any of its Subsidiaries), with a rating at the time as of which any Investment therein is made of “P-2” (or higher) according to Moody’s, “F-2” (or higher) according to Fitch or “A-2” (or higher) according to S&amp;P (or, in either case, the equivalent of such rating by such organization or, if no rating of S&amp;P, Fitch or Moody’s then exists, the equivalent of such rating by any Nationally Recognized Statistical Rating Organization);</w:t>
      </w:r>
    </w:p>
    <w:p>
      <w:pPr>
        <w:spacing w:after="0" w:line="178"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92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securities maturing not more than one year after the date of acquisition issued or fully Guaranteed by any state, commonwealth or territory of the United States of America, Canada, the United Kingdom, any European Union member state, Switzerland or Norway or by any political subdivision or taxing authority of any such state, commonwealth, territory, country or member state, and rated at least “BBB–” by S&amp;P, “BBB-” by Fitch or “Baa3” by Moody’s (or, in either case, the equivalent of such rating by such organization or, if no rating of S&amp;P, Fitch or Moody’s then exists, the equivalent of such rating by any Nationally Recognized Statistical Rating Organization);</w:t>
      </w:r>
    </w:p>
    <w:p>
      <w:pPr>
        <w:spacing w:after="0" w:line="181"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804"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bills of exchange issued in the United States, Canada, the United Kingdom, a member state of the European Union, Switzerland, Norway or Japan eligible for rediscount at the relevant central bank and accepted by a bank (or any dematerialized equivalent);</w:t>
      </w:r>
    </w:p>
    <w:p>
      <w:pPr>
        <w:spacing w:after="0" w:line="186" w:lineRule="exact"/>
        <w:rPr>
          <w:rFonts w:ascii="Times New Roman" w:cs="Times New Roman" w:eastAsia="Times New Roman" w:hAnsi="Times New Roman"/>
          <w:sz w:val="22"/>
          <w:szCs w:val="22"/>
          <w:color w:val="auto"/>
        </w:rPr>
      </w:pPr>
    </w:p>
    <w:p>
      <w:pPr>
        <w:jc w:val="both"/>
        <w:ind w:left="660" w:firstLine="644"/>
        <w:spacing w:after="0" w:line="251" w:lineRule="auto"/>
        <w:tabs>
          <w:tab w:leader="none" w:pos="18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money market deposit accounts issued or offered by a commercial bank organized under the laws of a country that is a member of the Organization for Economic Co-operation and Development, in each case, having capital and surplus in excess of $250 million (or the foreign currency equivalent thereof) or whose long term debt is rated at least “A” by S&amp;P, “A” by Fitch or “A2” by Moody’s (or, in either case, the equivalent of such rating by such organization or, if no rating of S&amp;P, Fitch or Moody’s then exists, the equivalent of such rating by any Nationally Recognized Statistical Rating Organization) at the time such Investment is made;</w:t>
      </w:r>
    </w:p>
    <w:p>
      <w:pPr>
        <w:spacing w:after="0" w:line="181" w:lineRule="exact"/>
        <w:rPr>
          <w:rFonts w:ascii="Times New Roman" w:cs="Times New Roman" w:eastAsia="Times New Roman" w:hAnsi="Times New Roman"/>
          <w:sz w:val="22"/>
          <w:szCs w:val="22"/>
          <w:color w:val="auto"/>
        </w:rPr>
      </w:pPr>
    </w:p>
    <w:p>
      <w:pPr>
        <w:ind w:left="660" w:firstLine="644"/>
        <w:spacing w:after="0" w:line="271" w:lineRule="auto"/>
        <w:tabs>
          <w:tab w:leader="none" w:pos="182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funds investing 95% of their assets in securities of the type described in clauses (1) through (7) above (which funds may also hold reasonable amounts of cash pending investment and/or distribution); and</w:t>
      </w:r>
    </w:p>
    <w:p>
      <w:pPr>
        <w:spacing w:after="0" w:line="157" w:lineRule="exact"/>
        <w:rPr>
          <w:rFonts w:ascii="Times New Roman" w:cs="Times New Roman" w:eastAsia="Times New Roman" w:hAnsi="Times New Roman"/>
          <w:sz w:val="22"/>
          <w:szCs w:val="22"/>
          <w:color w:val="auto"/>
        </w:rPr>
      </w:pPr>
    </w:p>
    <w:p>
      <w:pPr>
        <w:ind w:left="660" w:firstLine="644"/>
        <w:spacing w:after="0" w:line="271" w:lineRule="auto"/>
        <w:tabs>
          <w:tab w:leader="none" w:pos="193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complying with the risk limiting conditions of Rule 2a-7 (or any successor rule) of the SEC under the U.S. Investment Company Act of 1940, as amended.</w:t>
      </w:r>
    </w:p>
    <w:p>
      <w:pPr>
        <w:spacing w:after="0" w:line="17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Assets</w:t>
      </w:r>
      <w:r>
        <w:rPr>
          <w:rFonts w:ascii="Times New Roman" w:cs="Times New Roman" w:eastAsia="Times New Roman" w:hAnsi="Times New Roman"/>
          <w:sz w:val="22"/>
          <w:szCs w:val="22"/>
          <w:color w:val="auto"/>
        </w:rPr>
        <w:t>” means the consolidated total assets of the Company and its Restricted Subsidiaries in accordance with GAAP as shown on the most recent balance sheet of such Person.</w:t>
      </w:r>
    </w:p>
    <w:p>
      <w:pPr>
        <w:spacing w:after="0" w:line="158"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 means the issuance of the Notes and the use of proceeds thereof as set out in the Offering Memorandum under the caption “</w:t>
      </w:r>
      <w:r>
        <w:rPr>
          <w:rFonts w:ascii="Times New Roman" w:cs="Times New Roman" w:eastAsia="Times New Roman" w:hAnsi="Times New Roman"/>
          <w:sz w:val="22"/>
          <w:szCs w:val="22"/>
          <w:i w:val="1"/>
          <w:iCs w:val="1"/>
          <w:color w:val="auto"/>
        </w:rPr>
        <w:t>Use of Proceeds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52" w:name="page53"/>
    <w:bookmarkEnd w:id="52"/>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Treasury Rate</w:t>
      </w:r>
      <w:r>
        <w:rPr>
          <w:rFonts w:ascii="Times New Roman" w:cs="Times New Roman" w:eastAsia="Times New Roman" w:hAnsi="Times New Roman"/>
          <w:sz w:val="22"/>
          <w:szCs w:val="22"/>
          <w:color w:val="auto"/>
        </w:rPr>
        <w:t>” means the yield to maturity at the time of computation of U.S. Treasury securities with a constant maturity (as compiled and published in the most recent Federal Reserve Statistical Release H.15 (519) which has become publicly available on a day no earlier than two Business Days prior to the date of the delivery of the redemption notice in respect of such redemption date (or, if such statistical release is not so published or available, any publicly available source of similar market data selected by the Company in good faith)) most nearly equal to the period from the redemption date to June 1, 2028; provided, however, that if the period from the redemption date to June 1, 2028 is not equal to the constant maturity of a U.S. Treasury security for which a weekly average yield is given, the Treasury Rate will be obtained by a linear interpolation (calculated to the nearest one-twelfth of a year) from the weekly average yields to U.S. Treasury securities for which such yields are given, except that if the period from the redemption date to June 1, 2028 is less than one year, the weekly average yield on actually traded U.S. Treasury securities adjusted to a constant maturity of one year will be used.</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Management Assets</w:t>
      </w:r>
      <w:r>
        <w:rPr>
          <w:rFonts w:ascii="Times New Roman" w:cs="Times New Roman" w:eastAsia="Times New Roman" w:hAnsi="Times New Roman"/>
          <w:sz w:val="22"/>
          <w:szCs w:val="22"/>
          <w:color w:val="auto"/>
        </w:rPr>
        <w:t>” means Right to Collect Accounts, performing accounts, sub-performing accounts charged-off accounts, loans, receivables, mortgages, debentures, claims, cash and bank accounts or other similar assets or instruments held by a Trust Management SPV on trust for a beneficiary which is not the Company or a Restricted Subsidiary.</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Management SPV</w:t>
      </w:r>
      <w:r>
        <w:rPr>
          <w:rFonts w:ascii="Times New Roman" w:cs="Times New Roman" w:eastAsia="Times New Roman" w:hAnsi="Times New Roman"/>
          <w:sz w:val="22"/>
          <w:szCs w:val="22"/>
          <w:color w:val="auto"/>
        </w:rPr>
        <w:t>” means a Restricted Subsidiary whose purpose is managing Trust Management Assets and other activities necessary or ancillary to managing Trust Management Assets, including as necessary to fulfill any obligations or duty of the Trust Management SPV as a trustee.</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 Officer</w:t>
      </w:r>
      <w:r>
        <w:rPr>
          <w:rFonts w:ascii="Times New Roman" w:cs="Times New Roman" w:eastAsia="Times New Roman" w:hAnsi="Times New Roman"/>
          <w:sz w:val="22"/>
          <w:szCs w:val="22"/>
          <w:color w:val="auto"/>
        </w:rPr>
        <w:t>” means, when used with respect to the Trustee, any director, managing director, corporate trust officer, assistant corporate trust officer, secretary, assistant secretary, associate, vice president, assistant vice president, treasurer, assistant treasurer or other officer or assistant officer in the corporate trust services department of the Trustee (or any successor group of the Trustee) or any other officer of the Trustee customarily performing functions similar to those performed by any of the above-designated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Trustee</w:t>
      </w:r>
      <w:r>
        <w:rPr>
          <w:rFonts w:ascii="Times New Roman" w:cs="Times New Roman" w:eastAsia="Times New Roman" w:hAnsi="Times New Roman"/>
          <w:sz w:val="22"/>
          <w:szCs w:val="22"/>
          <w:color w:val="auto"/>
        </w:rPr>
        <w:t>” means the party named as such in this Indenture until a successor replaces it and, thereafter, means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successor.</w:t>
      </w:r>
    </w:p>
    <w:p>
      <w:pPr>
        <w:spacing w:after="0" w:line="20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Underlying Portfolio Assets</w:t>
      </w:r>
      <w:r>
        <w:rPr>
          <w:rFonts w:ascii="Times New Roman" w:cs="Times New Roman" w:eastAsia="Times New Roman" w:hAnsi="Times New Roman"/>
          <w:sz w:val="22"/>
          <w:szCs w:val="22"/>
          <w:color w:val="auto"/>
        </w:rPr>
        <w:t>” means performing, sub-performing or charged-off account, loans, receivables, mortgages, debentures or claims or other similar assets or instruments (in each case, however pooled, aggregated, fractionally owned or contractually divided).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Uniform Commercial Cod</w:t>
      </w:r>
      <w:r>
        <w:rPr>
          <w:rFonts w:ascii="Times New Roman" w:cs="Times New Roman" w:eastAsia="Times New Roman" w:hAnsi="Times New Roman"/>
          <w:sz w:val="22"/>
          <w:szCs w:val="22"/>
          <w:color w:val="auto"/>
        </w:rPr>
        <w:t>e” means the New York Uniform Commercial Code.</w:t>
      </w:r>
    </w:p>
    <w:p>
      <w:pPr>
        <w:sectPr>
          <w:pgSz w:w="11900" w:h="16838" w:orient="portrait"/>
          <w:cols w:equalWidth="0" w:num="1">
            <w:col w:w="11240"/>
          </w:cols>
          <w:pgMar w:left="320" w:top="1422" w:right="339" w:bottom="1440" w:gutter="0" w:footer="0" w:header="0"/>
        </w:sectPr>
      </w:pPr>
    </w:p>
    <w:bookmarkStart w:id="53" w:name="page54"/>
    <w:bookmarkEnd w:id="53"/>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Definitive Note</w:t>
      </w:r>
      <w:r>
        <w:rPr>
          <w:rFonts w:ascii="Times New Roman" w:cs="Times New Roman" w:eastAsia="Times New Roman" w:hAnsi="Times New Roman"/>
          <w:sz w:val="22"/>
          <w:szCs w:val="22"/>
          <w:color w:val="auto"/>
        </w:rPr>
        <w:t>” means one or more Definitive Notes that do not bear and are not required to bear the Private Placement Legend.</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Global Note</w:t>
      </w:r>
      <w:r>
        <w:rPr>
          <w:rFonts w:ascii="Times New Roman" w:cs="Times New Roman" w:eastAsia="Times New Roman" w:hAnsi="Times New Roman"/>
          <w:sz w:val="22"/>
          <w:szCs w:val="22"/>
          <w:color w:val="auto"/>
        </w:rPr>
        <w:t>” means a Global Note substantially in the form of Exhibit A hereto that bears the applicable Global Note Legend and that has the “Schedule of Exchanges of Interests in the Global Note” attached thereto, and that is deposited with or on behalf of and registered in the name of the Depositary therefor or its nominee, representing a series of Notes that do not bear and are not required to bear the Private Placement Legend.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660" w:firstLine="644"/>
        <w:spacing w:after="0" w:line="284" w:lineRule="auto"/>
        <w:tabs>
          <w:tab w:leader="none" w:pos="178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the Company that at the time of determination is an Unrestricted Subsidiary (as designated by the Board of Directors of the Company in the manner provided below); and</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of an Unrestricted Subsidiary.</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Board of Directors of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173" w:lineRule="exact"/>
        <w:rPr>
          <w:sz w:val="20"/>
          <w:szCs w:val="20"/>
          <w:color w:val="auto"/>
        </w:rPr>
      </w:pPr>
    </w:p>
    <w:p>
      <w:pPr>
        <w:jc w:val="both"/>
        <w:ind w:left="660" w:firstLine="644"/>
        <w:spacing w:after="0" w:line="263" w:lineRule="auto"/>
        <w:tabs>
          <w:tab w:leader="none" w:pos="178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spacing w:after="0" w:line="16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designation and the Investment of the Company in such Subsidiary complies with Section 4.07.</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Any such designation by the Board of Directors of the Company shall be evidenced to the Trustee by filing with the Trustee a resolution of the Board of Directors of the Company giving effect to such designation and an Officer’s Certificate certifying that such designation complies with the foregoing conditions.</w:t>
      </w:r>
    </w:p>
    <w:p>
      <w:pPr>
        <w:spacing w:after="0" w:line="16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21"/>
          <w:szCs w:val="21"/>
          <w:color w:val="auto"/>
        </w:rPr>
        <w:t>The Board of Directors of the Company may designate any Unrestricted Subsidiary to be a Restricted Subsidiary; provided, that immediately after giving effect to such designation (1) no Default or Event of Default would result therefrom and</w:t>
      </w:r>
    </w:p>
    <w:p>
      <w:pPr>
        <w:spacing w:after="0" w:line="2" w:lineRule="exact"/>
        <w:rPr>
          <w:sz w:val="20"/>
          <w:szCs w:val="20"/>
          <w:color w:val="auto"/>
        </w:rPr>
      </w:pPr>
    </w:p>
    <w:p>
      <w:pPr>
        <w:jc w:val="both"/>
        <w:ind w:firstLine="8"/>
        <w:spacing w:after="0" w:line="246" w:lineRule="auto"/>
        <w:tabs>
          <w:tab w:leader="none" w:pos="3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(x) the Company could Incur at least $1.00 of additional Indebtedness under Section 4.09(a) or (y) the Fixed Charge Coverage Ratio for the Company and its Restricted Subsidiaries would not be worse than it was immediately prior to giving effect to such designation, in each case,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taking into account such designation. Any such designation by the Board of Directors shall be evidenced to the Trustee by promptly filing with the Trustee a copy of the resolution of the Board of Directors giving effect to such designation or an Officer’s Certificate certifying that such designation complied with the foregoing provisions.</w:t>
      </w:r>
    </w:p>
    <w:p>
      <w:pPr>
        <w:sectPr>
          <w:pgSz w:w="11900" w:h="16838" w:orient="portrait"/>
          <w:cols w:equalWidth="0" w:num="1">
            <w:col w:w="11240"/>
          </w:cols>
          <w:pgMar w:left="320" w:top="1422" w:right="339" w:bottom="1440" w:gutter="0" w:footer="0" w:header="0"/>
        </w:sectPr>
      </w:pPr>
    </w:p>
    <w:bookmarkStart w:id="54" w:name="page55"/>
    <w:bookmarkEnd w:id="54"/>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 U.S. person as defined in Rule 902.</w:t>
      </w:r>
    </w:p>
    <w:p>
      <w:pPr>
        <w:spacing w:after="0" w:line="220"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Obligations</w:t>
      </w:r>
      <w:r>
        <w:rPr>
          <w:rFonts w:ascii="Times New Roman" w:cs="Times New Roman" w:eastAsia="Times New Roman" w:hAnsi="Times New Roman"/>
          <w:sz w:val="21"/>
          <w:szCs w:val="21"/>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151"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of a Person means all classes of Capital Stock of such Person then outstanding and normally entitled to vote in the election of directors.</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 Owned Restricted Subsidiary</w:t>
      </w:r>
      <w:r>
        <w:rPr>
          <w:rFonts w:ascii="Times New Roman" w:cs="Times New Roman" w:eastAsia="Times New Roman" w:hAnsi="Times New Roman"/>
          <w:sz w:val="22"/>
          <w:szCs w:val="22"/>
          <w:color w:val="auto"/>
        </w:rPr>
        <w:t>” means a Restricted Subsidiary of the Company, all the Voting Stock of which (other than directors’ qualifying shares or shares required by any applicable law or regulation to be held by a Person other than the Company or another Wholly Owned Restricted Subsidiary) is owned by the Company or another Wholly Owned Restricted Subsidiary.</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Working Capital Intercompany Loan</w:t>
      </w:r>
      <w:r>
        <w:rPr>
          <w:rFonts w:ascii="Times New Roman" w:cs="Times New Roman" w:eastAsia="Times New Roman" w:hAnsi="Times New Roman"/>
          <w:sz w:val="22"/>
          <w:szCs w:val="22"/>
          <w:color w:val="auto"/>
        </w:rPr>
        <w:t>” means any loan to or by the Company or any of its Restricted Subsidiaries to or from the Company or any of its Restricted Subsidiaries from time to time (i) for purposes of consolidated cash and tax management and working capital management and (ii) for a duration of less than one year.</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w:t>
      </w:r>
    </w:p>
    <w:p>
      <w:pPr>
        <w:spacing w:after="0" w:line="233" w:lineRule="exact"/>
        <w:rPr>
          <w:sz w:val="20"/>
          <w:szCs w:val="20"/>
          <w:color w:val="auto"/>
        </w:rPr>
      </w:pPr>
    </w:p>
    <w:p>
      <w:pPr>
        <w:jc w:val="both"/>
        <w:ind w:firstLine="1304"/>
        <w:spacing w:after="0" w:line="250" w:lineRule="auto"/>
        <w:tabs>
          <w:tab w:leader="none" w:pos="16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Ireland, any write-down, conversion, transfer, modification or suspension power existing from time to time under, and exercised in compliance with, any law or regulation in effect in Ireland, relating to the transposition of Directive 2014/59/EU establishing a framework for the recovery and resolution of credit institutions and investment firms, including but not limited to the Bail-In Legislation and Regulation (EU) No 806/2014 and the instruments, rules and standards created thereunder, pursuant to which:</w:t>
      </w:r>
    </w:p>
    <w:p>
      <w:pPr>
        <w:spacing w:after="0" w:line="194" w:lineRule="exact"/>
        <w:rPr>
          <w:rFonts w:ascii="Times New Roman" w:cs="Times New Roman" w:eastAsia="Times New Roman" w:hAnsi="Times New Roman"/>
          <w:sz w:val="22"/>
          <w:szCs w:val="22"/>
          <w:color w:val="auto"/>
        </w:rPr>
      </w:pPr>
    </w:p>
    <w:p>
      <w:pPr>
        <w:jc w:val="both"/>
        <w:ind w:left="1620" w:right="20" w:firstLine="737"/>
        <w:spacing w:after="0" w:line="257" w:lineRule="auto"/>
        <w:tabs>
          <w:tab w:leader="none" w:pos="268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spacing w:after="0" w:line="172" w:lineRule="exact"/>
        <w:rPr>
          <w:rFonts w:ascii="Times New Roman" w:cs="Times New Roman" w:eastAsia="Times New Roman" w:hAnsi="Times New Roman"/>
          <w:sz w:val="22"/>
          <w:szCs w:val="22"/>
          <w:color w:val="auto"/>
        </w:rPr>
      </w:pPr>
    </w:p>
    <w:p>
      <w:pPr>
        <w:ind w:left="1620" w:firstLine="737"/>
        <w:spacing w:after="0" w:line="271" w:lineRule="auto"/>
        <w:tabs>
          <w:tab w:leader="none" w:pos="266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in a contract governing an obligation of a bank or investment firm or affiliate of a bank or investment firm may be deemed to have been exercised;</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1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Germany, any write-down, conversion, transfer, modification or suspension power existing from time to time under, and exercised in compliance with, any law or regulation in effect in Germany, relating to the Bail-In Legislation and the instruments, rules and standards created thereunder, pursuant to which:</w:t>
      </w:r>
    </w:p>
    <w:p>
      <w:pPr>
        <w:sectPr>
          <w:pgSz w:w="11900" w:h="16838" w:orient="portrait"/>
          <w:cols w:equalWidth="0" w:num="1">
            <w:col w:w="11240"/>
          </w:cols>
          <w:pgMar w:left="320" w:top="1422" w:right="339" w:bottom="1440" w:gutter="0" w:footer="0" w:header="0"/>
        </w:sectPr>
      </w:pPr>
    </w:p>
    <w:bookmarkStart w:id="55" w:name="page56"/>
    <w:bookmarkEnd w:id="55"/>
    <w:p>
      <w:pPr>
        <w:jc w:val="both"/>
        <w:ind w:left="1620" w:right="20" w:firstLine="737"/>
        <w:spacing w:after="0" w:line="257" w:lineRule="auto"/>
        <w:tabs>
          <w:tab w:leader="none" w:pos="2683"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obligation of a bank or investment firm or affiliate of a bank or investment firm can be reduced, cancelled, modified or converted into shares, other securities or other obligations of such entity or any other person (or suspended for a temporary period); and</w:t>
      </w:r>
    </w:p>
    <w:p>
      <w:pPr>
        <w:spacing w:after="0" w:line="186" w:lineRule="exact"/>
        <w:rPr>
          <w:rFonts w:ascii="Times New Roman" w:cs="Times New Roman" w:eastAsia="Times New Roman" w:hAnsi="Times New Roman"/>
          <w:sz w:val="22"/>
          <w:szCs w:val="22"/>
          <w:color w:val="auto"/>
        </w:rPr>
      </w:pPr>
    </w:p>
    <w:p>
      <w:pPr>
        <w:ind w:left="1620" w:firstLine="737"/>
        <w:spacing w:after="0" w:line="271" w:lineRule="auto"/>
        <w:tabs>
          <w:tab w:leader="none" w:pos="2667"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 in a contract governing an obligation of a bank or investment firm or affiliate of a bank or investment firm may be deemed to have been exercised;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60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Bail-In Legislation described in the EU Bail-In Legislation Schedule from time to time (other than in respect of Ireland or Germany), the powers described as such in relation to that Bail-In Legislation in the EU Bail-In Legislation Schedule.</w:t>
      </w:r>
    </w:p>
    <w:p>
      <w:pPr>
        <w:spacing w:after="0" w:line="186"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UK Bail-In Legislation:</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5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80"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similar or analogous powers under that UK Bail-In Legislation.</w:t>
      </w:r>
    </w:p>
    <w:p>
      <w:pPr>
        <w:sectPr>
          <w:pgSz w:w="11900" w:h="16838" w:orient="portrait"/>
          <w:cols w:equalWidth="0" w:num="1">
            <w:col w:w="11240"/>
          </w:cols>
          <w:pgMar w:left="320" w:top="1422" w:right="339" w:bottom="1440" w:gutter="0" w:footer="0" w:header="0"/>
        </w:sectPr>
      </w:pP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SECTION 1.02.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Other Definitions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ectPr>
          <w:pgSz w:w="11900" w:h="16838" w:orient="portrait"/>
          <w:cols w:equalWidth="0" w:num="2">
            <w:col w:w="2700" w:space="220"/>
            <w:col w:w="8320"/>
          </w:cols>
          <w:pgMar w:left="320" w:top="1422" w:right="339" w:bottom="1440" w:gutter="0" w:footer="0" w:header="0"/>
          <w:type w:val="continuous"/>
        </w:sectPr>
      </w:pP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b w:val="1"/>
          <w:bCs w:val="1"/>
          <w:color w:val="auto"/>
        </w:rPr>
        <w:t>Term</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Defined in Section</w:t>
      </w:r>
    </w:p>
    <w:p>
      <w:pPr>
        <w:spacing w:after="0" w:line="200" w:lineRule="exact"/>
        <w:rPr>
          <w:sz w:val="20"/>
          <w:szCs w:val="20"/>
          <w:color w:val="auto"/>
        </w:rPr>
      </w:pPr>
    </w:p>
    <w:p>
      <w:pPr>
        <w:sectPr>
          <w:pgSz w:w="11900" w:h="16838" w:orient="portrait"/>
          <w:cols w:equalWidth="0" w:num="2">
            <w:col w:w="8640" w:space="720"/>
            <w:col w:w="1880"/>
          </w:cols>
          <w:pgMar w:left="320" w:top="1422" w:right="33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320" w:type="dxa"/>
            <w:vAlign w:val="bottom"/>
            <w:tcBorders>
              <w:top w:val="single" w:sz="8" w:color="auto"/>
            </w:tcBorders>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“Additional Amounts”</w:t>
            </w:r>
          </w:p>
        </w:tc>
        <w:tc>
          <w:tcPr>
            <w:tcW w:w="4920" w:type="dxa"/>
            <w:vAlign w:val="bottom"/>
            <w:tcBorders>
              <w:top w:val="single" w:sz="8" w:color="auto"/>
            </w:tcBorders>
          </w:tcPr>
          <w:p>
            <w:pPr>
              <w:ind w:left="3000"/>
              <w:spacing w:after="0"/>
              <w:rPr>
                <w:sz w:val="20"/>
                <w:szCs w:val="20"/>
                <w:color w:val="auto"/>
              </w:rPr>
            </w:pPr>
            <w:r>
              <w:rPr>
                <w:rFonts w:ascii="Times New Roman" w:cs="Times New Roman" w:eastAsia="Times New Roman" w:hAnsi="Times New Roman"/>
                <w:sz w:val="22"/>
                <w:szCs w:val="22"/>
                <w:color w:val="auto"/>
              </w:rPr>
              <w:t>2.13</w:t>
            </w:r>
          </w:p>
        </w:tc>
        <w:tc>
          <w:tcPr>
            <w:tcW w:w="0" w:type="dxa"/>
            <w:vAlign w:val="bottom"/>
          </w:tcPr>
          <w:p>
            <w:pPr>
              <w:spacing w:after="0"/>
              <w:rPr>
                <w:sz w:val="1"/>
                <w:szCs w:val="1"/>
                <w:color w:val="auto"/>
              </w:rPr>
            </w:pPr>
          </w:p>
        </w:tc>
      </w:tr>
      <w:tr>
        <w:trPr>
          <w:trHeight w:val="69"/>
        </w:trPr>
        <w:tc>
          <w:tcPr>
            <w:tcW w:w="6320" w:type="dxa"/>
            <w:vAlign w:val="bottom"/>
            <w:gridSpan w:val="8"/>
            <w:vMerge w:val="continue"/>
          </w:tcPr>
          <w:p>
            <w:pPr>
              <w:spacing w:after="0"/>
              <w:rPr>
                <w:sz w:val="5"/>
                <w:szCs w:val="5"/>
                <w:color w:val="auto"/>
              </w:rPr>
            </w:pPr>
          </w:p>
        </w:tc>
        <w:tc>
          <w:tcPr>
            <w:tcW w:w="4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vMerge w:val="restart"/>
          </w:tcPr>
          <w:p>
            <w:pPr>
              <w:ind w:left="3000"/>
              <w:spacing w:after="0"/>
              <w:rPr>
                <w:sz w:val="20"/>
                <w:szCs w:val="20"/>
                <w:color w:val="auto"/>
              </w:rPr>
            </w:pPr>
            <w:r>
              <w:rPr>
                <w:rFonts w:ascii="Times New Roman" w:cs="Times New Roman" w:eastAsia="Times New Roman" w:hAnsi="Times New Roman"/>
                <w:sz w:val="22"/>
                <w:szCs w:val="22"/>
                <w:color w:val="auto"/>
              </w:rPr>
              <w:t>Preamble</w:t>
            </w:r>
          </w:p>
        </w:tc>
        <w:tc>
          <w:tcPr>
            <w:tcW w:w="0" w:type="dxa"/>
            <w:vAlign w:val="bottom"/>
          </w:tcPr>
          <w:p>
            <w:pPr>
              <w:spacing w:after="0" w:line="20" w:lineRule="exact"/>
              <w:rPr>
                <w:sz w:val="1"/>
                <w:szCs w:val="1"/>
                <w:color w:val="auto"/>
              </w:rPr>
            </w:pPr>
          </w:p>
        </w:tc>
      </w:tr>
      <w:tr>
        <w:trPr>
          <w:trHeight w:val="424"/>
        </w:trPr>
        <w:tc>
          <w:tcPr>
            <w:tcW w:w="6320" w:type="dxa"/>
            <w:vAlign w:val="bottom"/>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“Additional Notes”</w:t>
            </w:r>
          </w:p>
        </w:tc>
        <w:tc>
          <w:tcPr>
            <w:tcW w:w="4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320" w:type="dxa"/>
            <w:vAlign w:val="bottom"/>
            <w:gridSpan w:val="8"/>
            <w:vMerge w:val="continue"/>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vMerge w:val="restart"/>
          </w:tcPr>
          <w:p>
            <w:pPr>
              <w:ind w:left="3000"/>
              <w:spacing w:after="0"/>
              <w:rPr>
                <w:sz w:val="20"/>
                <w:szCs w:val="20"/>
                <w:color w:val="auto"/>
              </w:rPr>
            </w:pPr>
            <w:r>
              <w:rPr>
                <w:rFonts w:ascii="Times New Roman" w:cs="Times New Roman" w:eastAsia="Times New Roman" w:hAnsi="Times New Roman"/>
                <w:sz w:val="22"/>
                <w:szCs w:val="22"/>
                <w:color w:val="auto"/>
              </w:rPr>
              <w:t>12.05</w:t>
            </w:r>
          </w:p>
        </w:tc>
        <w:tc>
          <w:tcPr>
            <w:tcW w:w="0" w:type="dxa"/>
            <w:vAlign w:val="bottom"/>
          </w:tcPr>
          <w:p>
            <w:pPr>
              <w:spacing w:after="0" w:line="20" w:lineRule="exact"/>
              <w:rPr>
                <w:sz w:val="1"/>
                <w:szCs w:val="1"/>
                <w:color w:val="auto"/>
              </w:rPr>
            </w:pPr>
          </w:p>
        </w:tc>
      </w:tr>
      <w:tr>
        <w:trPr>
          <w:trHeight w:val="424"/>
        </w:trPr>
        <w:tc>
          <w:tcPr>
            <w:tcW w:w="6320" w:type="dxa"/>
            <w:vAlign w:val="bottom"/>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“Additional Intercreditor Agreement”</w:t>
            </w:r>
          </w:p>
        </w:tc>
        <w:tc>
          <w:tcPr>
            <w:tcW w:w="4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320" w:type="dxa"/>
            <w:vAlign w:val="bottom"/>
            <w:gridSpan w:val="8"/>
            <w:vMerge w:val="continue"/>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vMerge w:val="restart"/>
          </w:tcPr>
          <w:p>
            <w:pPr>
              <w:ind w:left="3000"/>
              <w:spacing w:after="0"/>
              <w:rPr>
                <w:sz w:val="20"/>
                <w:szCs w:val="20"/>
                <w:color w:val="auto"/>
              </w:rPr>
            </w:pPr>
            <w:r>
              <w:rPr>
                <w:rFonts w:ascii="Times New Roman" w:cs="Times New Roman" w:eastAsia="Times New Roman" w:hAnsi="Times New Roman"/>
                <w:sz w:val="22"/>
                <w:szCs w:val="22"/>
                <w:color w:val="auto"/>
              </w:rPr>
              <w:t>4.16</w:t>
            </w:r>
          </w:p>
        </w:tc>
        <w:tc>
          <w:tcPr>
            <w:tcW w:w="0" w:type="dxa"/>
            <w:vAlign w:val="bottom"/>
          </w:tcPr>
          <w:p>
            <w:pPr>
              <w:spacing w:after="0" w:line="20" w:lineRule="exact"/>
              <w:rPr>
                <w:sz w:val="1"/>
                <w:szCs w:val="1"/>
                <w:color w:val="auto"/>
              </w:rPr>
            </w:pPr>
          </w:p>
        </w:tc>
      </w:tr>
      <w:tr>
        <w:trPr>
          <w:trHeight w:val="424"/>
        </w:trPr>
        <w:tc>
          <w:tcPr>
            <w:tcW w:w="6320" w:type="dxa"/>
            <w:vAlign w:val="bottom"/>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“Additional Note Guarantee”</w:t>
            </w:r>
          </w:p>
        </w:tc>
        <w:tc>
          <w:tcPr>
            <w:tcW w:w="4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320" w:type="dxa"/>
            <w:vAlign w:val="bottom"/>
            <w:gridSpan w:val="8"/>
            <w:vMerge w:val="continue"/>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vMerge w:val="restart"/>
          </w:tcPr>
          <w:p>
            <w:pPr>
              <w:ind w:left="3000"/>
              <w:spacing w:after="0"/>
              <w:rPr>
                <w:sz w:val="20"/>
                <w:szCs w:val="20"/>
                <w:color w:val="auto"/>
              </w:rPr>
            </w:pPr>
            <w:r>
              <w:rPr>
                <w:rFonts w:ascii="Times New Roman" w:cs="Times New Roman" w:eastAsia="Times New Roman" w:hAnsi="Times New Roman"/>
                <w:sz w:val="22"/>
                <w:szCs w:val="22"/>
                <w:color w:val="auto"/>
              </w:rPr>
              <w:t>4.11</w:t>
            </w:r>
          </w:p>
        </w:tc>
        <w:tc>
          <w:tcPr>
            <w:tcW w:w="0" w:type="dxa"/>
            <w:vAlign w:val="bottom"/>
          </w:tcPr>
          <w:p>
            <w:pPr>
              <w:spacing w:after="0" w:line="20" w:lineRule="exact"/>
              <w:rPr>
                <w:sz w:val="1"/>
                <w:szCs w:val="1"/>
                <w:color w:val="auto"/>
              </w:rPr>
            </w:pPr>
          </w:p>
        </w:tc>
      </w:tr>
      <w:tr>
        <w:trPr>
          <w:trHeight w:val="424"/>
        </w:trPr>
        <w:tc>
          <w:tcPr>
            <w:tcW w:w="6320" w:type="dxa"/>
            <w:vAlign w:val="bottom"/>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“Affiliate Transaction”</w:t>
            </w:r>
          </w:p>
        </w:tc>
        <w:tc>
          <w:tcPr>
            <w:tcW w:w="4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320" w:type="dxa"/>
            <w:vAlign w:val="bottom"/>
            <w:gridSpan w:val="8"/>
            <w:vMerge w:val="continue"/>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vMerge w:val="restart"/>
          </w:tcPr>
          <w:p>
            <w:pPr>
              <w:ind w:left="3000"/>
              <w:spacing w:after="0"/>
              <w:rPr>
                <w:sz w:val="20"/>
                <w:szCs w:val="20"/>
                <w:color w:val="auto"/>
              </w:rPr>
            </w:pPr>
            <w:r>
              <w:rPr>
                <w:rFonts w:ascii="Times New Roman" w:cs="Times New Roman" w:eastAsia="Times New Roman" w:hAnsi="Times New Roman"/>
                <w:sz w:val="22"/>
                <w:szCs w:val="22"/>
                <w:color w:val="auto"/>
              </w:rPr>
              <w:t>4.10</w:t>
            </w:r>
          </w:p>
        </w:tc>
        <w:tc>
          <w:tcPr>
            <w:tcW w:w="0" w:type="dxa"/>
            <w:vAlign w:val="bottom"/>
          </w:tcPr>
          <w:p>
            <w:pPr>
              <w:spacing w:after="0" w:line="20" w:lineRule="exact"/>
              <w:rPr>
                <w:sz w:val="1"/>
                <w:szCs w:val="1"/>
                <w:color w:val="auto"/>
              </w:rPr>
            </w:pPr>
          </w:p>
        </w:tc>
      </w:tr>
      <w:tr>
        <w:trPr>
          <w:trHeight w:val="424"/>
        </w:trPr>
        <w:tc>
          <w:tcPr>
            <w:tcW w:w="6320" w:type="dxa"/>
            <w:vAlign w:val="bottom"/>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“Asset Disposition Offer”</w:t>
            </w:r>
          </w:p>
        </w:tc>
        <w:tc>
          <w:tcPr>
            <w:tcW w:w="4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320" w:type="dxa"/>
            <w:vAlign w:val="bottom"/>
            <w:gridSpan w:val="8"/>
            <w:vMerge w:val="continue"/>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vMerge w:val="restart"/>
          </w:tcPr>
          <w:p>
            <w:pPr>
              <w:ind w:left="3000"/>
              <w:spacing w:after="0"/>
              <w:rPr>
                <w:sz w:val="20"/>
                <w:szCs w:val="20"/>
                <w:color w:val="auto"/>
              </w:rPr>
            </w:pPr>
            <w:r>
              <w:rPr>
                <w:rFonts w:ascii="Times New Roman" w:cs="Times New Roman" w:eastAsia="Times New Roman" w:hAnsi="Times New Roman"/>
                <w:sz w:val="22"/>
                <w:szCs w:val="22"/>
                <w:color w:val="auto"/>
              </w:rPr>
              <w:t>4.10</w:t>
            </w:r>
          </w:p>
        </w:tc>
        <w:tc>
          <w:tcPr>
            <w:tcW w:w="0" w:type="dxa"/>
            <w:vAlign w:val="bottom"/>
          </w:tcPr>
          <w:p>
            <w:pPr>
              <w:spacing w:after="0" w:line="20" w:lineRule="exact"/>
              <w:rPr>
                <w:sz w:val="1"/>
                <w:szCs w:val="1"/>
                <w:color w:val="auto"/>
              </w:rPr>
            </w:pPr>
          </w:p>
        </w:tc>
      </w:tr>
      <w:tr>
        <w:trPr>
          <w:trHeight w:val="424"/>
        </w:trPr>
        <w:tc>
          <w:tcPr>
            <w:tcW w:w="6320" w:type="dxa"/>
            <w:vAlign w:val="bottom"/>
            <w:gridSpan w:val="8"/>
            <w:vMerge w:val="restart"/>
          </w:tcPr>
          <w:p>
            <w:pPr>
              <w:ind w:left="80"/>
              <w:spacing w:after="0"/>
              <w:rPr>
                <w:sz w:val="20"/>
                <w:szCs w:val="20"/>
                <w:color w:val="auto"/>
              </w:rPr>
            </w:pPr>
            <w:r>
              <w:rPr>
                <w:rFonts w:ascii="Times New Roman" w:cs="Times New Roman" w:eastAsia="Times New Roman" w:hAnsi="Times New Roman"/>
                <w:sz w:val="22"/>
                <w:szCs w:val="22"/>
                <w:color w:val="auto"/>
              </w:rPr>
              <w:t>“Asset Disposition Offer Amount”</w:t>
            </w:r>
          </w:p>
        </w:tc>
        <w:tc>
          <w:tcPr>
            <w:tcW w:w="4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6320" w:type="dxa"/>
            <w:vAlign w:val="bottom"/>
            <w:gridSpan w:val="8"/>
            <w:vMerge w:val="continue"/>
          </w:tcPr>
          <w:p>
            <w:pPr>
              <w:spacing w:after="0"/>
              <w:rPr>
                <w:sz w:val="7"/>
                <w:szCs w:val="7"/>
                <w:color w:val="auto"/>
              </w:rPr>
            </w:pPr>
          </w:p>
        </w:tc>
        <w:tc>
          <w:tcPr>
            <w:tcW w:w="4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22" w:right="339" w:bottom="1440" w:gutter="0" w:footer="0" w:header="0"/>
          <w:type w:val="continuous"/>
        </w:sectPr>
      </w:pPr>
    </w:p>
    <w:bookmarkStart w:id="56" w:name="page57"/>
    <w:bookmarkEnd w:id="56"/>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Asset Disposition Offer Period</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Asset Disposition Purchase Date</w:t>
      </w:r>
      <w:r>
        <w:rPr>
          <w:rFonts w:ascii="Times New Roman" w:cs="Times New Roman" w:eastAsia="Times New Roman" w:hAnsi="Times New Roman"/>
          <w:sz w:val="21"/>
          <w:szCs w:val="21"/>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Authentication Order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Authentication Agent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Tax Law</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Offer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Payment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of Control Payment Date</w:t>
      </w:r>
      <w:r>
        <w:rPr>
          <w:rFonts w:ascii="Times New Roman" w:cs="Times New Roman" w:eastAsia="Times New Roman" w:hAnsi="Times New Roman"/>
          <w:sz w:val="21"/>
          <w:szCs w:val="21"/>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Proceeds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Agreement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Lien</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Legal Defeasance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Luxembourg Guarantor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Principal Paying Agent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Relevant Taxing Jurisdiction</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Defined in Section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11.01</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4.08</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4.07</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2.13</w:t>
      </w:r>
    </w:p>
    <w:p>
      <w:pPr>
        <w:sectPr>
          <w:pgSz w:w="11900" w:h="16838" w:orient="portrait"/>
          <w:cols w:equalWidth="0" w:num="2">
            <w:col w:w="8520" w:space="720"/>
            <w:col w:w="1720"/>
          </w:cols>
          <w:pgMar w:left="400" w:top="1440" w:right="539" w:bottom="1440" w:gutter="0" w:footer="0" w:header="0"/>
        </w:sectPr>
      </w:pPr>
    </w:p>
    <w:bookmarkStart w:id="57" w:name="page58"/>
    <w:bookmarkEnd w:id="57"/>
    <w:p>
      <w:pPr>
        <w:spacing w:after="0" w:line="221"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21"/>
          <w:szCs w:val="21"/>
          <w:b w:val="1"/>
          <w:bCs w:val="1"/>
          <w:color w:val="auto"/>
        </w:rPr>
        <w:t>Term</w:t>
      </w:r>
      <w:r>
        <w:rPr>
          <w:sz w:val="20"/>
          <w:szCs w:val="20"/>
          <w:color w:val="auto"/>
        </w:rPr>
        <w:tab/>
      </w:r>
      <w:r>
        <w:rPr>
          <w:rFonts w:ascii="Times New Roman" w:cs="Times New Roman" w:eastAsia="Times New Roman" w:hAnsi="Times New Roman"/>
          <w:sz w:val="21"/>
          <w:szCs w:val="21"/>
          <w:b w:val="1"/>
          <w:bCs w:val="1"/>
          <w:color w:val="auto"/>
        </w:rPr>
        <w:t>Defined in Section</w:t>
      </w:r>
    </w:p>
    <w:p>
      <w:pPr>
        <w:sectPr>
          <w:pgSz w:w="11900" w:h="16838" w:orient="portrait"/>
          <w:cols w:equalWidth="0" w:num="1">
            <w:col w:w="11160"/>
          </w:cols>
          <w:pgMar w:left="400" w:top="1440" w:right="339" w:bottom="1440" w:gutter="0" w:footer="0" w:header="0"/>
        </w:sect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-245745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Suspension Event</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Redemption Date</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Agent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20"/>
        <w:spacing w:after="0"/>
        <w:tabs>
          <w:tab w:leader="none" w:pos="2820" w:val="left"/>
        </w:tabs>
        <w:rPr>
          <w:sz w:val="20"/>
          <w:szCs w:val="20"/>
          <w:color w:val="auto"/>
        </w:rPr>
      </w:pPr>
      <w:r>
        <w:rPr>
          <w:rFonts w:ascii="Times New Roman" w:cs="Times New Roman" w:eastAsia="Times New Roman" w:hAnsi="Times New Roman"/>
          <w:sz w:val="22"/>
          <w:szCs w:val="22"/>
          <w:color w:val="auto"/>
        </w:rPr>
        <w:t>SECTION 1.03.</w:t>
      </w:r>
      <w:r>
        <w:rPr>
          <w:sz w:val="20"/>
          <w:szCs w:val="20"/>
          <w:color w:val="auto"/>
        </w:rPr>
        <w:tab/>
      </w:r>
      <w:r>
        <w:rPr>
          <w:rFonts w:ascii="Times New Roman" w:cs="Times New Roman" w:eastAsia="Times New Roman" w:hAnsi="Times New Roman"/>
          <w:sz w:val="21"/>
          <w:szCs w:val="21"/>
          <w:u w:val="single" w:color="auto"/>
          <w:color w:val="auto"/>
        </w:rPr>
        <w:t>Rules of Construction</w:t>
      </w:r>
      <w:r>
        <w:rPr>
          <w:rFonts w:ascii="Times New Roman" w:cs="Times New Roman" w:eastAsia="Times New Roman" w:hAnsi="Times New Roman"/>
          <w:sz w:val="21"/>
          <w:szCs w:val="21"/>
          <w:color w:val="auto"/>
        </w:rPr>
        <w:t>. Unless the context otherwise requires:</w:t>
      </w:r>
    </w:p>
    <w:p>
      <w:pPr>
        <w:spacing w:after="0" w:line="28" w:lineRule="exact"/>
        <w:rPr>
          <w:sz w:val="20"/>
          <w:szCs w:val="20"/>
          <w:color w:val="auto"/>
        </w:rPr>
      </w:pPr>
    </w:p>
    <w:p>
      <w:pPr>
        <w:ind w:left="1220"/>
        <w:spacing w:after="0"/>
        <w:tabs>
          <w:tab w:leader="none" w:pos="16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 term has the meaning assigned to it;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4.07</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4.18</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2.03</w:t>
      </w:r>
    </w:p>
    <w:p>
      <w:pPr>
        <w:spacing w:after="0" w:line="1567" w:lineRule="exact"/>
        <w:rPr>
          <w:sz w:val="20"/>
          <w:szCs w:val="20"/>
          <w:color w:val="auto"/>
        </w:rPr>
      </w:pPr>
    </w:p>
    <w:p>
      <w:pPr>
        <w:sectPr>
          <w:pgSz w:w="11900" w:h="16838" w:orient="portrait"/>
          <w:cols w:equalWidth="0" w:num="2">
            <w:col w:w="8520" w:space="720"/>
            <w:col w:w="1920"/>
          </w:cols>
          <w:pgMar w:left="400" w:top="1440" w:right="339" w:bottom="1440" w:gutter="0" w:footer="0" w:header="0"/>
          <w:type w:val="continuous"/>
        </w:sectPr>
      </w:pPr>
    </w:p>
    <w:p>
      <w:pPr>
        <w:ind w:left="1700" w:hanging="476"/>
        <w:spacing w:after="0"/>
        <w:tabs>
          <w:tab w:leader="none" w:pos="1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accounting term not otherwise defined has the meaning assigned to it in accordance with GAAP;</w:t>
      </w:r>
    </w:p>
    <w:p>
      <w:pPr>
        <w:spacing w:after="0" w:line="219" w:lineRule="exact"/>
        <w:rPr>
          <w:rFonts w:ascii="Times New Roman" w:cs="Times New Roman" w:eastAsia="Times New Roman" w:hAnsi="Times New Roman"/>
          <w:sz w:val="22"/>
          <w:szCs w:val="22"/>
          <w:color w:val="auto"/>
        </w:rPr>
      </w:pPr>
    </w:p>
    <w:p>
      <w:pPr>
        <w:ind w:left="1680" w:hanging="456"/>
        <w:spacing w:after="0"/>
        <w:tabs>
          <w:tab w:leader="none" w:pos="1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is not exclusive;</w:t>
      </w:r>
    </w:p>
    <w:p>
      <w:pPr>
        <w:spacing w:after="0" w:line="219" w:lineRule="exact"/>
        <w:rPr>
          <w:rFonts w:ascii="Times New Roman" w:cs="Times New Roman" w:eastAsia="Times New Roman" w:hAnsi="Times New Roman"/>
          <w:sz w:val="22"/>
          <w:szCs w:val="22"/>
          <w:color w:val="auto"/>
        </w:rPr>
      </w:pPr>
    </w:p>
    <w:p>
      <w:pPr>
        <w:ind w:left="1700" w:hanging="476"/>
        <w:spacing w:after="0"/>
        <w:tabs>
          <w:tab w:leader="none" w:pos="17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means including without limitation;</w:t>
      </w:r>
    </w:p>
    <w:p>
      <w:pPr>
        <w:spacing w:after="0" w:line="233" w:lineRule="exact"/>
        <w:rPr>
          <w:rFonts w:ascii="Times New Roman" w:cs="Times New Roman" w:eastAsia="Times New Roman" w:hAnsi="Times New Roman"/>
          <w:sz w:val="22"/>
          <w:szCs w:val="22"/>
          <w:color w:val="auto"/>
        </w:rPr>
      </w:pPr>
    </w:p>
    <w:p>
      <w:pPr>
        <w:ind w:left="1680" w:hanging="456"/>
        <w:spacing w:after="0"/>
        <w:tabs>
          <w:tab w:leader="none" w:pos="16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in the singular include the plural, and in the plural include the singular;</w:t>
      </w:r>
    </w:p>
    <w:p>
      <w:pPr>
        <w:spacing w:after="0" w:line="219" w:lineRule="exact"/>
        <w:rPr>
          <w:rFonts w:ascii="Times New Roman" w:cs="Times New Roman" w:eastAsia="Times New Roman" w:hAnsi="Times New Roman"/>
          <w:sz w:val="22"/>
          <w:szCs w:val="22"/>
          <w:color w:val="auto"/>
        </w:rPr>
      </w:pPr>
    </w:p>
    <w:p>
      <w:pPr>
        <w:ind w:left="1660" w:hanging="436"/>
        <w:spacing w:after="0"/>
        <w:tabs>
          <w:tab w:leader="none" w:pos="1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shall be interpreted to express a command;</w:t>
      </w:r>
    </w:p>
    <w:p>
      <w:pPr>
        <w:spacing w:after="0" w:line="219" w:lineRule="exact"/>
        <w:rPr>
          <w:rFonts w:ascii="Times New Roman" w:cs="Times New Roman" w:eastAsia="Times New Roman" w:hAnsi="Times New Roman"/>
          <w:sz w:val="22"/>
          <w:szCs w:val="22"/>
          <w:color w:val="auto"/>
        </w:rPr>
      </w:pPr>
    </w:p>
    <w:p>
      <w:pPr>
        <w:ind w:left="-80" w:right="20" w:firstLine="1304"/>
        <w:spacing w:after="0" w:line="271" w:lineRule="auto"/>
        <w:tabs>
          <w:tab w:leader="none" w:pos="172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sections of or rules under the Securities Act will be deemed to include substitute, replacement of successor sections or rules adopted by the SEC from time to time; and</w:t>
      </w:r>
    </w:p>
    <w:p>
      <w:pPr>
        <w:spacing w:after="0" w:line="157" w:lineRule="exact"/>
        <w:rPr>
          <w:rFonts w:ascii="Times New Roman" w:cs="Times New Roman" w:eastAsia="Times New Roman" w:hAnsi="Times New Roman"/>
          <w:sz w:val="22"/>
          <w:szCs w:val="22"/>
          <w:color w:val="auto"/>
        </w:rPr>
      </w:pPr>
    </w:p>
    <w:p>
      <w:pPr>
        <w:ind w:left="-80" w:right="20" w:firstLine="1304"/>
        <w:spacing w:after="0" w:line="284" w:lineRule="auto"/>
        <w:tabs>
          <w:tab w:leader="none" w:pos="171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“acting reasonably” and correlative expressions shall be construed to mean “acting reasonably in the interests of the Holders and having regard to the duties of the Trustee to the Holders”.</w:t>
      </w:r>
    </w:p>
    <w:p>
      <w:pPr>
        <w:spacing w:after="0" w:line="14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The Notes</w:t>
      </w:r>
    </w:p>
    <w:p>
      <w:pPr>
        <w:spacing w:after="0" w:line="196" w:lineRule="exact"/>
        <w:rPr>
          <w:sz w:val="20"/>
          <w:szCs w:val="20"/>
          <w:color w:val="auto"/>
        </w:rPr>
      </w:pPr>
    </w:p>
    <w:p>
      <w:pPr>
        <w:ind w:left="1220"/>
        <w:spacing w:after="0"/>
        <w:tabs>
          <w:tab w:leader="none" w:pos="2820" w:val="left"/>
        </w:tabs>
        <w:rPr>
          <w:sz w:val="20"/>
          <w:szCs w:val="20"/>
          <w:color w:val="auto"/>
        </w:rPr>
      </w:pPr>
      <w:r>
        <w:rPr>
          <w:rFonts w:ascii="Times New Roman" w:cs="Times New Roman" w:eastAsia="Times New Roman" w:hAnsi="Times New Roman"/>
          <w:sz w:val="22"/>
          <w:szCs w:val="22"/>
          <w:color w:val="auto"/>
        </w:rPr>
        <w:t>SECTION 2.01.</w:t>
      </w:r>
      <w:r>
        <w:rPr>
          <w:sz w:val="20"/>
          <w:szCs w:val="20"/>
          <w:color w:val="auto"/>
        </w:rPr>
        <w:tab/>
      </w:r>
      <w:r>
        <w:rPr>
          <w:rFonts w:ascii="Times New Roman" w:cs="Times New Roman" w:eastAsia="Times New Roman" w:hAnsi="Times New Roman"/>
          <w:sz w:val="21"/>
          <w:szCs w:val="21"/>
          <w:u w:val="single" w:color="auto"/>
          <w:color w:val="auto"/>
        </w:rPr>
        <w:t>Form and Dating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1304"/>
        <w:spacing w:after="0" w:line="263" w:lineRule="auto"/>
        <w:tabs>
          <w:tab w:leader="none" w:pos="167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The Notes shall be U.S. dollar-denominated 6.625% Senior Secured Notes due 2032. The Notes and the Trustee’s or Authentication Agent’s certificate of authentication will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Notes may have</w:t>
      </w:r>
    </w:p>
    <w:p>
      <w:pPr>
        <w:sectPr>
          <w:pgSz w:w="11900" w:h="16838" w:orient="portrait"/>
          <w:cols w:equalWidth="0" w:num="1">
            <w:col w:w="11160"/>
          </w:cols>
          <w:pgMar w:left="400" w:top="1440" w:right="339" w:bottom="1440" w:gutter="0" w:footer="0" w:header="0"/>
          <w:type w:val="continuous"/>
        </w:sectPr>
      </w:pPr>
    </w:p>
    <w:bookmarkStart w:id="58" w:name="page59"/>
    <w:bookmarkEnd w:id="58"/>
    <w:p>
      <w:pPr>
        <w:jc w:val="both"/>
        <w:spacing w:after="0" w:line="265" w:lineRule="auto"/>
        <w:rPr>
          <w:sz w:val="20"/>
          <w:szCs w:val="20"/>
          <w:color w:val="auto"/>
        </w:rPr>
      </w:pPr>
      <w:r>
        <w:rPr>
          <w:rFonts w:ascii="Times New Roman" w:cs="Times New Roman" w:eastAsia="Times New Roman" w:hAnsi="Times New Roman"/>
          <w:sz w:val="21"/>
          <w:szCs w:val="21"/>
          <w:color w:val="auto"/>
        </w:rPr>
        <w:t>notations, legends or endorsements required by law, stock exchange rule or usage. The Initial Notes will initially be represented by the Global Notes. Each Note will be dated the date of its authentication. The Notes shall be in minimum denominations of $200,000 and integral multiples of $1,000 in excess thereof. The terms and provisions contained in the Notes will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69" w:lineRule="exact"/>
        <w:rPr>
          <w:sz w:val="20"/>
          <w:szCs w:val="20"/>
          <w:color w:val="auto"/>
        </w:rPr>
      </w:pPr>
    </w:p>
    <w:p>
      <w:pPr>
        <w:jc w:val="both"/>
        <w:ind w:firstLine="1304"/>
        <w:spacing w:after="0" w:line="248" w:lineRule="auto"/>
        <w:tabs>
          <w:tab w:leader="none" w:pos="176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 Notes</w:t>
      </w:r>
      <w:r>
        <w:rPr>
          <w:rFonts w:ascii="Times New Roman" w:cs="Times New Roman" w:eastAsia="Times New Roman" w:hAnsi="Times New Roman"/>
          <w:sz w:val="22"/>
          <w:szCs w:val="22"/>
          <w:color w:val="auto"/>
        </w:rPr>
        <w:t xml:space="preserve">. Notes issued in global form will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(including the Global Note Legend thereon and the “Schedule of Exchanges of Interests in the Global Note” attached thereto). Notes issued in definitive form will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(but without the Global Note Legend thereon and without the “Schedule of Exchanges of Interests in the Global Note” attached thereto). Each Global Note will represent outstanding Notes of each such series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Depositary therefor, at the direction of the Trustee, in accordance with Section 2.06. Ownership of interests in the Global Notes will be limited to Participants and Indirect Participants. Book-Entry Interests in the Global Notes will be shown on, and transfers thereof will be effected only through, records maintained in book-entry form by the Depositary and its Participants.</w:t>
      </w:r>
    </w:p>
    <w:p>
      <w:pPr>
        <w:spacing w:after="0" w:line="184" w:lineRule="exact"/>
        <w:rPr>
          <w:rFonts w:ascii="Times New Roman" w:cs="Times New Roman" w:eastAsia="Times New Roman" w:hAnsi="Times New Roman"/>
          <w:sz w:val="22"/>
          <w:szCs w:val="22"/>
          <w:color w:val="auto"/>
        </w:rPr>
      </w:pPr>
    </w:p>
    <w:p>
      <w:pPr>
        <w:ind w:right="20" w:firstLine="1304"/>
        <w:spacing w:after="0" w:line="284" w:lineRule="auto"/>
        <w:tabs>
          <w:tab w:leader="none" w:pos="181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DTC</w:t>
      </w:r>
      <w:r>
        <w:rPr>
          <w:rFonts w:ascii="Times New Roman" w:cs="Times New Roman" w:eastAsia="Times New Roman" w:hAnsi="Times New Roman"/>
          <w:sz w:val="22"/>
          <w:szCs w:val="22"/>
          <w:color w:val="auto"/>
        </w:rPr>
        <w:t>. The rights of holders of beneficial interests in the Notes to receive the payments on such Notes are subject to applicable procedures of DTC and of its direct and indirect participants, including Euroclear and Clearstream.</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Notes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From time to time, subject to compliance with provisions pursuant to Sections 4.09 and 4.12 the Company is permitted to issue an unlimited principal amount of Additional Notes, which shall have terms substantially identical to the Notes except in respect of any of the following terms which shall be set forth in an Officer’s Certificate (as defined below) delivered by the Company to the Trustee:</w:t>
      </w:r>
    </w:p>
    <w:p>
      <w:pPr>
        <w:spacing w:after="0" w:line="176" w:lineRule="exact"/>
        <w:rPr>
          <w:sz w:val="20"/>
          <w:szCs w:val="20"/>
          <w:color w:val="auto"/>
        </w:rPr>
      </w:pPr>
    </w:p>
    <w:p>
      <w:pPr>
        <w:ind w:left="2420" w:hanging="468"/>
        <w:spacing w:after="0"/>
        <w:tabs>
          <w:tab w:leader="none" w:pos="2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title of such Additional Notes;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Additional Notes;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or dates on which such Additional Notes will be issued;</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46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or rates (which may be fixed or floating) at which such Additional Notes shall bear interest and, if applicable, the interest rate basis,</w:t>
      </w:r>
    </w:p>
    <w:p>
      <w:pPr>
        <w:sectPr>
          <w:pgSz w:w="11900" w:h="16838" w:orient="portrait"/>
          <w:cols w:equalWidth="0" w:num="1">
            <w:col w:w="11240"/>
          </w:cols>
          <w:pgMar w:left="320" w:top="1422" w:right="339" w:bottom="1440" w:gutter="0" w:footer="0" w:header="0"/>
        </w:sectPr>
      </w:pPr>
    </w:p>
    <w:bookmarkStart w:id="59" w:name="page60"/>
    <w:bookmarkEnd w:id="59"/>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formula or other method of determining such interest rate or rates, the date or dates from which such interest shall accrue, the interest payment dates on which such interest shall be payable or the method by which such dates will be determined, the record dates for the determination of holders thereof to whom such interest is payable and the basis upon which such interest will be calculated;</w:t>
      </w:r>
    </w:p>
    <w:p>
      <w:pPr>
        <w:spacing w:after="0" w:line="176" w:lineRule="exact"/>
        <w:rPr>
          <w:sz w:val="20"/>
          <w:szCs w:val="20"/>
          <w:color w:val="auto"/>
        </w:rPr>
      </w:pPr>
    </w:p>
    <w:p>
      <w:pPr>
        <w:ind w:left="1300" w:firstLine="652"/>
        <w:spacing w:after="0" w:line="271" w:lineRule="auto"/>
        <w:tabs>
          <w:tab w:leader="none" w:pos="245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or currencies in which such Additional Notes shall be denominated and the currency in which cash or government obligations in connection with such series of Additional Notes may be payable;</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45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or dates and price or prices at which, the period or periods within which, and the terms and conditions upon which, such Additional Notes may be redeemed, in whole or in part;</w:t>
      </w:r>
    </w:p>
    <w:p>
      <w:pPr>
        <w:spacing w:after="0" w:line="171"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5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than in denominations of $200,000 and in integral multiples of $1,000 in excess thereof, the denominations in which such Additional Notes shall be issued and redeemed; and</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54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ISIN, Common Code, CUSIP or other securities identification numbers with respect to such Additional Notes.</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Such Additional Notes will be treated, along with all other Notes, as a single class for the purposes of the Indenture with respect to waivers, amendments and all other matters which are not specifically distinguished for such series, as described under “—Amendments and waivers.” Additional Notes may be designated to be of the same series as the Notes initially issued on the Issue Date, but only if they have terms substantially identical in all material respects to the initial Notes, and shall be consolidated and deemed to form one single series and references to the Notes shall be deemed to include the Notes initially issued on the Issue Date as well any such Additional Notes; provided that any Additional Notes that are not fungible for U.S. federal income tax purposes with any Notes previously issued will be issued with a separate ISIN, Common Code, CUSIP or other securities identification number, as applicable.</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Execution and Authentication</w:t>
      </w:r>
      <w:r>
        <w:rPr>
          <w:rFonts w:ascii="Times New Roman" w:cs="Times New Roman" w:eastAsia="Times New Roman" w:hAnsi="Times New Roman"/>
          <w:sz w:val="22"/>
          <w:szCs w:val="22"/>
          <w:color w:val="auto"/>
        </w:rPr>
        <w:t>. An Officer must sign the Notes for the Company by manual or facsimile signature. If the Officer whose signature is on a Note no longer holds that office at the time a Note is authenticated, the Note will nevertheless be valid.</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A Note will not be valid until authenticated by the manual or facsimile signature of the Trustee or Authentication Agent. The signature will be conclusive evidence that the Note has been authenticated under this Indenture.</w:t>
      </w:r>
    </w:p>
    <w:p>
      <w:pPr>
        <w:spacing w:after="0" w:line="144" w:lineRule="exact"/>
        <w:rPr>
          <w:sz w:val="20"/>
          <w:szCs w:val="20"/>
          <w:color w:val="auto"/>
        </w:rPr>
      </w:pPr>
    </w:p>
    <w:p>
      <w:pPr>
        <w:jc w:val="both"/>
        <w:ind w:right="20" w:firstLine="1296"/>
        <w:spacing w:after="0" w:line="252" w:lineRule="auto"/>
        <w:rPr>
          <w:sz w:val="20"/>
          <w:szCs w:val="20"/>
          <w:color w:val="auto"/>
        </w:rPr>
      </w:pPr>
      <w:r>
        <w:rPr>
          <w:rFonts w:ascii="Times New Roman" w:cs="Times New Roman" w:eastAsia="Times New Roman" w:hAnsi="Times New Roman"/>
          <w:sz w:val="22"/>
          <w:szCs w:val="22"/>
          <w:color w:val="auto"/>
        </w:rPr>
        <w:t>On the Issue Date, the Trustee (or the Authentication Agent (as defined herein below)) shall, upon receipt of a written order of the Company signed by an Officer (an “</w:t>
      </w:r>
      <w:r>
        <w:rPr>
          <w:rFonts w:ascii="Times New Roman" w:cs="Times New Roman" w:eastAsia="Times New Roman" w:hAnsi="Times New Roman"/>
          <w:sz w:val="22"/>
          <w:szCs w:val="22"/>
          <w:u w:val="single" w:color="auto"/>
          <w:color w:val="auto"/>
        </w:rPr>
        <w:t>Authentication Order</w:t>
      </w:r>
      <w:r>
        <w:rPr>
          <w:rFonts w:ascii="Times New Roman" w:cs="Times New Roman" w:eastAsia="Times New Roman" w:hAnsi="Times New Roman"/>
          <w:sz w:val="22"/>
          <w:szCs w:val="22"/>
          <w:color w:val="auto"/>
        </w:rPr>
        <w:t>”), authenticate the Initial Notes for original issue up to $750,000,000 in aggregate principal amount of Notes and, upon delivery of any Authentication Order at any time and from time to time thereafter, the Trustee (or the Authentication Agent) shall authenticate</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50" w:lineRule="auto"/>
        <w:rPr>
          <w:sz w:val="20"/>
          <w:szCs w:val="20"/>
          <w:color w:val="auto"/>
        </w:rPr>
      </w:pPr>
      <w:r>
        <w:rPr>
          <w:rFonts w:ascii="Times New Roman" w:cs="Times New Roman" w:eastAsia="Times New Roman" w:hAnsi="Times New Roman"/>
          <w:sz w:val="22"/>
          <w:szCs w:val="22"/>
          <w:color w:val="auto"/>
        </w:rPr>
        <w:t>Additional Notes for original issue, or Definitive Notes issued pursuant to Section 2.06, in an aggregate principal amount specified in such Authentication Order. Such Authentication Order shall specify the aggregate principal amount of Notes to be authenticated, the series and type of Notes, the date on which the Notes are to be authenticated, and the date from which interest on such Notes shall accrue, whether the Notes are to be issued as definitive Notes or Global Notes and whether or not the Notes shall bear any legend, or such other information as the Trustee may reasonably request. In addition, such Authentication Order shall include (a) a statement that the Persons signing the Authentication Order have (i) read and understood the provisions of this Indenture relevant to the statements in the Authentication Order and (ii) made such examination or investigation as is necessary to enable them to make such statements and (b) a brief statement as to the nature and scope of the examination or investigation on which the statements set forth in the Authentication Order are based.</w:t>
      </w:r>
    </w:p>
    <w:p>
      <w:pPr>
        <w:spacing w:after="0" w:line="180"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The Trustee may appoint an authentication agent (the “</w:t>
      </w:r>
      <w:r>
        <w:rPr>
          <w:rFonts w:ascii="Times New Roman" w:cs="Times New Roman" w:eastAsia="Times New Roman" w:hAnsi="Times New Roman"/>
          <w:sz w:val="22"/>
          <w:szCs w:val="22"/>
          <w:u w:val="single" w:color="auto"/>
          <w:color w:val="auto"/>
        </w:rPr>
        <w:t>Authentication Agent</w:t>
      </w:r>
      <w:r>
        <w:rPr>
          <w:rFonts w:ascii="Times New Roman" w:cs="Times New Roman" w:eastAsia="Times New Roman" w:hAnsi="Times New Roman"/>
          <w:sz w:val="22"/>
          <w:szCs w:val="22"/>
          <w:color w:val="auto"/>
        </w:rPr>
        <w:t>”) acceptable to the Company to authenticate Notes. Such an agent may authenticate Notes whenever the Trustee may do so. Each reference in this Indenture to authentication by the Trustee includes authentication by such agent. Any Authentication Agent has the same rights as an Agent to deal with Holders or an Affiliate of the Company. Any such appointment shall be evidenced by an instrument signed by a Responsible Officer, a copy of which shall be furnished to the Company. Unless limited by the terms of such appointment, an Authentication Agent may authenticate Notes whenever the Trustee may do so. The Trustee appoints, upon the terms and subject to the conditions of this Indenture, the Registrar as the Authentication Agent and the Registrar hereby accepts such appointment. The Company confirms this appointment as acceptable to it. Each reference in this Indenture to authentication by the Trustee includes authentication by such agent. An Authentication Agent has the same rights as an Agent to deal with Holders or an Affiliate of the Company.</w:t>
      </w:r>
    </w:p>
    <w:p>
      <w:pPr>
        <w:spacing w:after="0" w:line="204"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Registrar, Paying Agent and Transfer Agent</w:t>
      </w:r>
      <w:r>
        <w:rPr>
          <w:rFonts w:ascii="Times New Roman" w:cs="Times New Roman" w:eastAsia="Times New Roman" w:hAnsi="Times New Roman"/>
          <w:sz w:val="22"/>
          <w:szCs w:val="22"/>
          <w:color w:val="auto"/>
        </w:rPr>
        <w:t>. The Company shall maintain offices or agencies where Notes may be presented for registration of transfer or for exchange (each, a “</w:t>
      </w:r>
      <w:r>
        <w:rPr>
          <w:rFonts w:ascii="Times New Roman" w:cs="Times New Roman" w:eastAsia="Times New Roman" w:hAnsi="Times New Roman"/>
          <w:sz w:val="22"/>
          <w:szCs w:val="22"/>
          <w:u w:val="single" w:color="auto"/>
          <w:color w:val="auto"/>
        </w:rPr>
        <w:t>Registrar</w:t>
      </w:r>
      <w:r>
        <w:rPr>
          <w:rFonts w:ascii="Times New Roman" w:cs="Times New Roman" w:eastAsia="Times New Roman" w:hAnsi="Times New Roman"/>
          <w:sz w:val="22"/>
          <w:szCs w:val="22"/>
          <w:color w:val="auto"/>
        </w:rPr>
        <w:t>”) and one or more Paying Agents where Notes may be presented for payment. Offices or agencies of the Paying Agent for the Notes shall be maintained in the United States. The Company shall also maintain a Registrar with offices in the United States and a transfer agent (the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in the United States. The Registrar, acting as agent of the Company solely for this purpose,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Registrar or Transfer Agent without prior notice to any Holder. The Company shall notify the Trustee in writing of the name and address of any Paying Agent not a party to this Indenture. If the Company fails to appoint or maintain another entity as Registrar or Paying Agent, the Trustee, acting as agent of the Company solely for this purpose, shall act as such. The Company or any of its Subsidiaries, acting as agent of the Company solely for this purpose, may act as Paying Agent, Transfer Agent or Registrar.</w:t>
      </w:r>
    </w:p>
    <w:p>
      <w:pPr>
        <w:sectPr>
          <w:pgSz w:w="11900" w:h="16838" w:orient="portrait"/>
          <w:cols w:equalWidth="0" w:num="1">
            <w:col w:w="11240"/>
          </w:cols>
          <w:pgMar w:left="320" w:top="1422" w:right="339" w:bottom="1440" w:gutter="0" w:footer="0" w:header="0"/>
        </w:sectPr>
      </w:pPr>
    </w:p>
    <w:bookmarkStart w:id="61" w:name="page62"/>
    <w:bookmarkEnd w:id="61"/>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Global Notes will be deposited with a custodian for DTC and registered in the name of Cede &amp; Co., as nominee of DTC.</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The Company initially appoints, upon the terms and subject to the conditions of this Indenture, GLAS Trust Company LLC to act as the Principal Paying Agent, the Transfer Agent and the Registrar. Each Agent hereby accepts such appointments.</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Subject to any applicable laws and regulations, the Company shall cause the Registrar to keep a register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at its office in which, subject to such reasonable regulations as it may prescribe, the Company shall provide for the registration of ownership, exchange and transfer of the Notes. Such registration in the Register shall be conclusive evidence of the ownership of Notes. Included in the books and records for the Notes shall be notations as to whether such Notes have been paid, exchanged or transferred, cancelled, lost, stolen, mutilated or destroyed and whether such Notes have been replaced. In the case of the replacement of any of the Notes, the Registrar shall keep a record of the Note so replaced and the Note issued in replacement thereof. In the case of the cancellation of any of the Notes, the Registrar shall keep a record of the Note so cancelled and the date on which such Note was cancelled.</w:t>
      </w:r>
    </w:p>
    <w:p>
      <w:pPr>
        <w:spacing w:after="0" w:line="18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The Company shall enter into an appropriate agency agreement with any Paying Agent or co-Registrar not a party to this Indenture. The agreement shall implement the provisions of this Indenture that relate to such agent. The Company shall notify the Trustee and the Agents of the name and address of any such agent. If the Company fails to maintain a Registrar or Paying Agent, the Trustee may appoint a suitably qualified and reputable party to act as such and shall be entitled to appropriate compensation therefor pursuant to Section 7.07.</w:t>
      </w:r>
    </w:p>
    <w:p>
      <w:pPr>
        <w:spacing w:after="0" w:line="17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Upon notice to the Trustee, the Company may change any Paying Agent, Registrar or Transfer Agent. For so long as the Notes are listed on the official list of the Exchange and traded on the Euro MTF Market and the rules and regulations of the Exchange so require, the Company shall provide notice of any change of Paying Agent, Registrar or Transfer Agent to the Exchange. To the extent and in the manner permitted by such rules, the Company will request the notice to be posted on the official website of the Exchange in accordance with Section 13.02 and, in the case of Definitive Notes, in addition to such publication and posting, mail such notice by first-class mail to each Holder’s registered address, as it appears on the Register, with a copy to the Trustee.</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21"/>
          <w:szCs w:val="21"/>
          <w:color w:val="auto"/>
        </w:rPr>
        <w:t>Payment of principal shall be made upon the surrender of Definitive Notes at the office of any Paying Agent. In the case of a transfer of a Definitive Note in part, upon surrender of the Definitive Note to be transferred, a Definitive Note shall be issued to the transferee in respect of the principal amount transferred and a Definitive Note shall be issued to the transferor in respect of the balance of the principal amount of the transferred Definitive Note at the office of any Transfer Agent.</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obligations of the Agents are several and not joint.</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Paying Agent to Hold Money</w:t>
      </w:r>
      <w:r>
        <w:rPr>
          <w:rFonts w:ascii="Times New Roman" w:cs="Times New Roman" w:eastAsia="Times New Roman" w:hAnsi="Times New Roman"/>
          <w:sz w:val="22"/>
          <w:szCs w:val="22"/>
          <w:color w:val="auto"/>
        </w:rPr>
        <w:t>. The Company shall require each Paying Agent other than the Trustee to agree in writing that the Paying Agent will hold all</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71" w:lineRule="auto"/>
        <w:rPr>
          <w:sz w:val="20"/>
          <w:szCs w:val="20"/>
          <w:color w:val="auto"/>
        </w:rPr>
      </w:pPr>
      <w:r>
        <w:rPr>
          <w:rFonts w:ascii="Times New Roman" w:cs="Times New Roman" w:eastAsia="Times New Roman" w:hAnsi="Times New Roman"/>
          <w:sz w:val="22"/>
          <w:szCs w:val="22"/>
          <w:color w:val="auto"/>
        </w:rPr>
        <w:t>money held by the Paying Agent for the payment of principal, premium, if any, or interest on the Notes, and will notify the Trustee of any default by the Company in making any such payment.</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Money held by a Paying Agent need not be segregated, except as required by law, and in no event shall any Paying Agent be liable for interest on any money received by it hereunder. For the avoidance of doubt, any funds held by the Paying Agent are held as banker are not subject to United Kingdom’s Financial Conduct Authority’s Client Money Rules and, in the event the Paying Agent fails, the client money distribution rules will not apply and so the Company shall not be entitled to share in any distribution under the client money distribution rules. While any such default continues, the Trustee may require a Paying Agent to pay all money held by it to the Trustee. The Company at any time may require a Paying Agent to pay all money held by it to the Trustee and to account for any funds disbursed by the Paying Agent. Upon payment over to the Trustee, the Paying Agent will have no further liability for the money. Upon any bankruptcy or reorganization proceedings relating to the Company, GLAS Trust Company LLC will serve as Paying Agent for the Notes.</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u w:val="single" w:color="auto"/>
          <w:color w:val="auto"/>
        </w:rPr>
        <w:t>Holder Lists</w:t>
      </w:r>
      <w:r>
        <w:rPr>
          <w:rFonts w:ascii="Times New Roman" w:cs="Times New Roman" w:eastAsia="Times New Roman" w:hAnsi="Times New Roman"/>
          <w:sz w:val="22"/>
          <w:szCs w:val="22"/>
          <w:color w:val="auto"/>
        </w:rPr>
        <w:t>. If the Trustee is the Registrar, the Trustee will preserve in as current a form as is reasonably practicable the most recent list available to it of the names and addresses of all Holders.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Neither the Trustee nor any of the Agents will have any responsibility or be liable for any aspect of the records in relation to, or payments made on account of, beneficial ownership interests in the Global Notes or for maintaining, supervising or reviewing any records relating to such beneficial ownership interests.</w:t>
      </w:r>
    </w:p>
    <w:p>
      <w:pPr>
        <w:spacing w:after="0" w:line="18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u w:val="single" w:color="auto"/>
          <w:color w:val="auto"/>
        </w:rPr>
        <w:t>Transfer and Exchange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2" w:lineRule="auto"/>
        <w:tabs>
          <w:tab w:leader="none" w:pos="183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Global Notes</w:t>
      </w:r>
      <w:r>
        <w:rPr>
          <w:rFonts w:ascii="Times New Roman" w:cs="Times New Roman" w:eastAsia="Times New Roman" w:hAnsi="Times New Roman"/>
          <w:sz w:val="22"/>
          <w:szCs w:val="22"/>
          <w:color w:val="auto"/>
        </w:rPr>
        <w:t>. A Global Note may not be transferred as a whole except by the nominee of an applicable Depositary to another nominee of the applicable Depositary, or by the applicable Depositary or any such nominee to a successor Depositary or a nominee of such successor Depositary. All Global Notes of a series will be exchanged by the Company for Definitive Notes if:</w:t>
      </w:r>
    </w:p>
    <w:p>
      <w:pPr>
        <w:spacing w:after="0" w:line="192"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43"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Global Note, the Company delivers to the Trustee notice from Euroclear and Clearstream that they are unwilling or unable to continue to act as clearing agencies and a successor Depositary is not appointed by the Company within 120 days after the date of such notice from the Depositary; or</w:t>
      </w:r>
    </w:p>
    <w:p>
      <w:pPr>
        <w:spacing w:after="0" w:line="172" w:lineRule="exact"/>
        <w:rPr>
          <w:rFonts w:ascii="Times New Roman" w:cs="Times New Roman" w:eastAsia="Times New Roman" w:hAnsi="Times New Roman"/>
          <w:sz w:val="22"/>
          <w:szCs w:val="22"/>
          <w:color w:val="auto"/>
        </w:rPr>
      </w:pPr>
    </w:p>
    <w:p>
      <w:pPr>
        <w:jc w:val="both"/>
        <w:ind w:left="1300" w:right="20" w:firstLine="652"/>
        <w:spacing w:after="0" w:line="295" w:lineRule="auto"/>
        <w:tabs>
          <w:tab w:leader="none" w:pos="243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Global Note, there has occurred and is continuing an Event of Default with respect to such Global Note and the Participant who owns a book entry interest in such Global Note so requests in writing.</w:t>
      </w:r>
    </w:p>
    <w:p>
      <w:pPr>
        <w:sectPr>
          <w:pgSz w:w="11900" w:h="16838" w:orient="portrait"/>
          <w:cols w:equalWidth="0" w:num="1">
            <w:col w:w="11240"/>
          </w:cols>
          <w:pgMar w:left="320" w:top="1422" w:right="339" w:bottom="1440" w:gutter="0" w:footer="0" w:header="0"/>
        </w:sectPr>
      </w:pPr>
    </w:p>
    <w:bookmarkStart w:id="63" w:name="page64"/>
    <w:bookmarkEnd w:id="63"/>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Upon the occurrence of any of the events listed in the preceding clause (1) of this Section 2.06(a), the Company shall execute, and the Trustee or the Authentication Agent shall, upon receipt of an Authentication Order, authenticate and deliver Definitive Notes of the series and in an aggregate principal amount equal to the principal amount of the applicable Global Note tendered in exchange therefor. The Company shall, at the cost of the Company (but against such indemnity as the Registrar or any relevant Agent may require in respect of any tax or other duty of whatever nature which may be levied or imposed in connection with such exchange), cause sufficient Definitive Notes to be executed and delivered to the Trustee or the Authentication Agent for authentication and the Registrar for registration of the exchange and dispatch to the relevant Holders within 30 days of the relevant event. The Trustee or the Registrar shall, at the cost of the Company, deliver such Definitive Notes to the Persons in whose names such Notes are so registered. Definitive Notes issued in exchange for beneficial interests in Global Notes pursuant to this Section 2.06(a) shall be registered in such names and in such authorized denominations as the Depositary, pursuant to instructions from its Participants or Indirect Participants or otherwise, shall instruct the Trustee. A Global Note may not be exchanged for another Note other than as provided in this Section 2.06(a);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notable, beneficial interests in a Global Note may be transferred and exchanged as provided in Section 2.06(b), (c), (d) or (e).</w:t>
      </w:r>
    </w:p>
    <w:p>
      <w:pPr>
        <w:spacing w:after="0" w:line="177" w:lineRule="exact"/>
        <w:rPr>
          <w:sz w:val="20"/>
          <w:szCs w:val="20"/>
          <w:color w:val="auto"/>
        </w:rPr>
      </w:pPr>
    </w:p>
    <w:p>
      <w:pPr>
        <w:jc w:val="both"/>
        <w:ind w:firstLine="1304"/>
        <w:spacing w:after="0" w:line="251" w:lineRule="auto"/>
        <w:tabs>
          <w:tab w:leader="none" w:pos="180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Beneficial Interests in the Global Notes</w:t>
      </w:r>
      <w:r>
        <w:rPr>
          <w:rFonts w:ascii="Times New Roman" w:cs="Times New Roman" w:eastAsia="Times New Roman" w:hAnsi="Times New Roman"/>
          <w:sz w:val="22"/>
          <w:szCs w:val="22"/>
          <w:color w:val="auto"/>
        </w:rPr>
        <w:t>. The transfer and exchange of beneficial interests in the Global Notes will be effected through the applicable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41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Beneficial Interests in the Same Global Note</w:t>
      </w:r>
      <w:r>
        <w:rPr>
          <w:rFonts w:ascii="Times New Roman" w:cs="Times New Roman" w:eastAsia="Times New Roman" w:hAnsi="Times New Roman"/>
          <w:sz w:val="22"/>
          <w:szCs w:val="22"/>
          <w:color w:val="auto"/>
        </w:rPr>
        <w:t>. Beneficial interests in any Restricted Global Note may be transferred to Persons who take delivery thereof in the form of a beneficial interest in the same Restricted Global Note in accordance with the transfer restrictions set forth in the Private Placement Legend; provided, however, that transfers of beneficial interests in a Regulation S Global Note may not be made to a U.S. Person or for the account or benefit of a U.S. Person prior to the expiration of the 40-day “distribution compliance period” under Regulation S, unless such person is a “distributor” as defined in Rule 902.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85"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97"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 Other Transfers and Exchanges of Beneficial Interests in Global Notes</w:t>
      </w:r>
      <w:r>
        <w:rPr>
          <w:rFonts w:ascii="Times New Roman" w:cs="Times New Roman" w:eastAsia="Times New Roman" w:hAnsi="Times New Roman"/>
          <w:sz w:val="22"/>
          <w:szCs w:val="22"/>
          <w:color w:val="auto"/>
        </w:rPr>
        <w:t>. In connection with all transfers and exchanges of beneficial interests that are not subject to Section 2.06(b)(1) above, the transferor of such</w:t>
      </w:r>
    </w:p>
    <w:p>
      <w:pPr>
        <w:sectPr>
          <w:pgSz w:w="11900" w:h="16838" w:orient="portrait"/>
          <w:cols w:equalWidth="0" w:num="1">
            <w:col w:w="11240"/>
          </w:cols>
          <w:pgMar w:left="320" w:top="1422" w:right="339" w:bottom="1440" w:gutter="0" w:footer="0" w:header="0"/>
        </w:sectPr>
      </w:pPr>
    </w:p>
    <w:bookmarkStart w:id="64" w:name="page65"/>
    <w:bookmarkEnd w:id="64"/>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beneficial interest must deliver to the Registrar or the Transfer Agent both (i) a written order from a Participant or an Indirect Participant given to the applicable Depositary in accordance with the Applicable Procedures directing the applicable Depositary to credit or cause to be credited a beneficial interest in another Global Note in an amount equal to the beneficial interest to be transferred or exchanged, and (ii) instructions given in accordance with the Applicable Procedures containing information regarding the Participant account to be credited with such increase.</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Upon satisfaction of all the requirements for transfer or exchange of beneficial interests in Global Notes contained in this Indenture and the Notes or otherwise applicable under the Securities Act, the Trustee or the Transfer Agent shall arrange the adjustment to the principal amount of the relevant Global Note(s) pursuant to Section 2.06(h).</w:t>
      </w:r>
    </w:p>
    <w:p>
      <w:pPr>
        <w:spacing w:after="0" w:line="167" w:lineRule="exact"/>
        <w:rPr>
          <w:sz w:val="20"/>
          <w:szCs w:val="20"/>
          <w:color w:val="auto"/>
        </w:rPr>
      </w:pPr>
    </w:p>
    <w:p>
      <w:pPr>
        <w:jc w:val="both"/>
        <w:ind w:left="1300" w:firstLine="652"/>
        <w:spacing w:after="0" w:line="252" w:lineRule="auto"/>
        <w:tabs>
          <w:tab w:leader="none" w:pos="256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Beneficial Interests to Another Restricted Global Note</w:t>
      </w:r>
      <w:r>
        <w:rPr>
          <w:rFonts w:ascii="Times New Roman" w:cs="Times New Roman" w:eastAsia="Times New Roman" w:hAnsi="Times New Roman"/>
          <w:sz w:val="22"/>
          <w:szCs w:val="22"/>
          <w:color w:val="auto"/>
        </w:rPr>
        <w:t>. A beneficial interest in any Restricted Global Note may be transferred to a Person who takes delivery thereof in the form of a beneficial interest in another Restricted Global Note if the transfer complies with the requirements of Section 2.06(b)(2) above and the Registrar or the Transfer Agent receives the following:</w:t>
      </w:r>
    </w:p>
    <w:p>
      <w:pPr>
        <w:spacing w:after="0" w:line="179" w:lineRule="exact"/>
        <w:rPr>
          <w:rFonts w:ascii="Times New Roman" w:cs="Times New Roman" w:eastAsia="Times New Roman" w:hAnsi="Times New Roman"/>
          <w:sz w:val="22"/>
          <w:szCs w:val="22"/>
          <w:color w:val="auto"/>
        </w:rPr>
      </w:pPr>
    </w:p>
    <w:p>
      <w:pPr>
        <w:jc w:val="both"/>
        <w:ind w:left="1920" w:right="20" w:firstLine="642"/>
        <w:spacing w:after="0" w:line="263" w:lineRule="auto"/>
        <w:tabs>
          <w:tab w:leader="none" w:pos="311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(1) thereof; and</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08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65" w:lineRule="auto"/>
        <w:tabs>
          <w:tab w:leader="none" w:pos="2456"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21"/>
          <w:szCs w:val="21"/>
          <w:color w:val="auto"/>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or the Transfer Agent receives the following:</w:t>
      </w:r>
    </w:p>
    <w:p>
      <w:pPr>
        <w:spacing w:after="0" w:line="178" w:lineRule="exact"/>
        <w:rPr>
          <w:rFonts w:ascii="Times New Roman" w:cs="Times New Roman" w:eastAsia="Times New Roman" w:hAnsi="Times New Roman"/>
          <w:sz w:val="21"/>
          <w:szCs w:val="21"/>
          <w:color w:val="auto"/>
        </w:rPr>
      </w:pPr>
    </w:p>
    <w:p>
      <w:pPr>
        <w:jc w:val="both"/>
        <w:ind w:left="1920" w:firstLine="642"/>
        <w:spacing w:after="0" w:line="257" w:lineRule="auto"/>
        <w:tabs>
          <w:tab w:leader="none" w:pos="3092"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72" w:lineRule="exact"/>
        <w:rPr>
          <w:rFonts w:ascii="Times New Roman" w:cs="Times New Roman" w:eastAsia="Times New Roman" w:hAnsi="Times New Roman"/>
          <w:sz w:val="22"/>
          <w:szCs w:val="22"/>
          <w:color w:val="auto"/>
        </w:rPr>
      </w:pPr>
    </w:p>
    <w:p>
      <w:pPr>
        <w:ind w:left="1920" w:right="20" w:firstLine="642"/>
        <w:spacing w:after="0" w:line="271" w:lineRule="auto"/>
        <w:tabs>
          <w:tab w:leader="none" w:pos="311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transfer such beneficial interest to a Person who</w:t>
      </w:r>
    </w:p>
    <w:p>
      <w:pPr>
        <w:sectPr>
          <w:pgSz w:w="11900" w:h="16838" w:orient="portrait"/>
          <w:cols w:equalWidth="0" w:num="1">
            <w:col w:w="11240"/>
          </w:cols>
          <w:pgMar w:left="320" w:top="1422" w:right="339" w:bottom="1440" w:gutter="0" w:footer="0" w:header="0"/>
        </w:sectPr>
      </w:pPr>
    </w:p>
    <w:bookmarkStart w:id="65" w:name="page66"/>
    <w:bookmarkEnd w:id="65"/>
    <w:p>
      <w:pPr>
        <w:jc w:val="both"/>
        <w:ind w:left="1920"/>
        <w:spacing w:after="0" w:line="257" w:lineRule="auto"/>
        <w:rPr>
          <w:sz w:val="20"/>
          <w:szCs w:val="20"/>
          <w:color w:val="auto"/>
        </w:rPr>
      </w:pPr>
      <w:r>
        <w:rPr>
          <w:rFonts w:ascii="Times New Roman" w:cs="Times New Roman" w:eastAsia="Times New Roman" w:hAnsi="Times New Roman"/>
          <w:sz w:val="22"/>
          <w:szCs w:val="22"/>
          <w:color w:val="auto"/>
        </w:rPr>
        <w:t xml:space="preserve">shall take delivery thereof in the form of a beneficial interest in an Unrestricted Global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8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and, in each such case, if the Registrar or the Transfer Agent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If any such transfer is effected at a time when an Unrestricted Global Note has not yet been issued, the Company shall issue and, upon receipt of an Authentication Order in accordance with Section 2.02, the Trustee (or the Authentication Agent) shall authenticate one or more Unrestricted Global Notes in an aggregate principal amount equal to the aggregate principal amount of beneficial interests transferred.</w:t>
      </w:r>
    </w:p>
    <w:p>
      <w:pPr>
        <w:spacing w:after="0" w:line="17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58" w:lineRule="exact"/>
        <w:rPr>
          <w:sz w:val="20"/>
          <w:szCs w:val="20"/>
          <w:color w:val="auto"/>
        </w:rPr>
      </w:pPr>
    </w:p>
    <w:p>
      <w:pPr>
        <w:jc w:val="both"/>
        <w:ind w:firstLine="1304"/>
        <w:spacing w:after="0" w:line="256" w:lineRule="auto"/>
        <w:tabs>
          <w:tab w:leader="none" w:pos="1765"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or Exchange of Beneficial Interests for Definitive Notes</w:t>
      </w:r>
      <w:r>
        <w:rPr>
          <w:rFonts w:ascii="Times New Roman" w:cs="Times New Roman" w:eastAsia="Times New Roman" w:hAnsi="Times New Roman"/>
          <w:sz w:val="22"/>
          <w:szCs w:val="22"/>
          <w:color w:val="auto"/>
        </w:rPr>
        <w:t>. If any one of the events listed in clause (1) or (2) of Section 2.06(a) has occurred or the Company has elected pursuant to Section 2.06(a) to cause the issuance of Definitive Notes, transfers or exchanges of beneficial interests in a Global Note for a Definitive Note shall be effected, subject to the satisfaction of the conditions set forth in the applicable subclauses of this Section 2.06(c).</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37"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Restricted Global Notes to Restricted Definitive Notes</w:t>
      </w:r>
      <w:r>
        <w:rPr>
          <w:rFonts w:ascii="Times New Roman" w:cs="Times New Roman" w:eastAsia="Times New Roman" w:hAnsi="Times New Roman"/>
          <w:sz w:val="22"/>
          <w:szCs w:val="22"/>
          <w:color w:val="auto"/>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or the Transfer Agent of the following documentation:</w:t>
      </w:r>
    </w:p>
    <w:p>
      <w:pPr>
        <w:spacing w:after="0" w:line="178"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092"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67" w:lineRule="exact"/>
        <w:rPr>
          <w:rFonts w:ascii="Times New Roman" w:cs="Times New Roman" w:eastAsia="Times New Roman" w:hAnsi="Times New Roman"/>
          <w:sz w:val="22"/>
          <w:szCs w:val="22"/>
          <w:color w:val="auto"/>
        </w:rPr>
      </w:pPr>
    </w:p>
    <w:p>
      <w:pPr>
        <w:ind w:left="1920" w:right="20" w:firstLine="642"/>
        <w:spacing w:after="0" w:line="271" w:lineRule="auto"/>
        <w:tabs>
          <w:tab w:leader="none" w:pos="3194"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(1) thereof;</w:t>
      </w:r>
    </w:p>
    <w:p>
      <w:pPr>
        <w:spacing w:after="0" w:line="157" w:lineRule="exact"/>
        <w:rPr>
          <w:rFonts w:ascii="Times New Roman" w:cs="Times New Roman" w:eastAsia="Times New Roman" w:hAnsi="Times New Roman"/>
          <w:sz w:val="22"/>
          <w:szCs w:val="22"/>
          <w:color w:val="auto"/>
        </w:rPr>
      </w:pPr>
    </w:p>
    <w:p>
      <w:pPr>
        <w:ind w:left="1920" w:firstLine="642"/>
        <w:spacing w:after="0" w:line="271" w:lineRule="auto"/>
        <w:tabs>
          <w:tab w:leader="none" w:pos="3111" w:val="left"/>
        </w:tabs>
        <w:numPr>
          <w:ilvl w:val="2"/>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beneficial interest is being transferred to a non-U.S. Person in an offshore transaction in accordance with Rule 903 or Rule 904,</w:t>
      </w:r>
    </w:p>
    <w:p>
      <w:pPr>
        <w:sectPr>
          <w:pgSz w:w="11900" w:h="16838" w:orient="portrait"/>
          <w:cols w:equalWidth="0" w:num="1">
            <w:col w:w="11240"/>
          </w:cols>
          <w:pgMar w:left="320" w:top="1422" w:right="339" w:bottom="1440" w:gutter="0" w:footer="0" w:header="0"/>
        </w:sectPr>
      </w:pPr>
    </w:p>
    <w:bookmarkStart w:id="66" w:name="page67"/>
    <w:bookmarkEnd w:id="66"/>
    <w:p>
      <w:pPr>
        <w:ind w:left="1920"/>
        <w:spacing w:after="0"/>
        <w:rPr>
          <w:sz w:val="20"/>
          <w:szCs w:val="20"/>
          <w:color w:val="auto"/>
        </w:rPr>
      </w:pPr>
      <w:r>
        <w:rPr>
          <w:rFonts w:ascii="Times New Roman" w:cs="Times New Roman" w:eastAsia="Times New Roman" w:hAnsi="Times New Roman"/>
          <w:sz w:val="22"/>
          <w:szCs w:val="22"/>
          <w:color w:val="auto"/>
        </w:rPr>
        <w:t xml:space="preserve">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w:t>
      </w:r>
    </w:p>
    <w:p>
      <w:pPr>
        <w:spacing w:after="0" w:line="220" w:lineRule="exact"/>
        <w:rPr>
          <w:sz w:val="20"/>
          <w:szCs w:val="20"/>
          <w:color w:val="auto"/>
        </w:rPr>
      </w:pPr>
    </w:p>
    <w:p>
      <w:pPr>
        <w:ind w:left="1920" w:firstLine="642"/>
        <w:spacing w:after="0" w:line="271" w:lineRule="auto"/>
        <w:tabs>
          <w:tab w:leader="none" w:pos="317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to the Company or any of its Subsidiaries,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(4) thereof,</w:t>
      </w:r>
    </w:p>
    <w:p>
      <w:pPr>
        <w:spacing w:after="0" w:line="17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the Trustee shall cause the aggregate principal amount of the applicable Global Note to be reduced accordingly pursuant to Section 2.06(h), and the Company shall execute and, upon receipt of an Authentication Order, the Trustee (or the Authentication Agent) shall authenticate and deliver to the Person designated in the instructions a Restricted Definitive Note in the appropriate principal amount. Any Restricted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or the Transfer Agent through instructions from the Depositary and the Participant or Indirect Participant. The Trustee or the Registrar (as the case may be) shall deliver such Restricted Definitive Notes to the Persons in whose names such Notes are so registered. Any Restricted Definitive Note issued in exchange for a beneficial interest in a Restricted Global Note pursuant to this Section 2.06(c)(1) shall bear the Private Placement Legend and shall be subject to all restrictions on transfer contained therein.</w:t>
      </w:r>
    </w:p>
    <w:p>
      <w:pPr>
        <w:spacing w:after="0" w:line="191" w:lineRule="exact"/>
        <w:rPr>
          <w:sz w:val="20"/>
          <w:szCs w:val="20"/>
          <w:color w:val="auto"/>
        </w:rPr>
      </w:pPr>
    </w:p>
    <w:p>
      <w:pPr>
        <w:jc w:val="both"/>
        <w:ind w:left="1300" w:firstLine="652"/>
        <w:spacing w:after="0" w:line="256" w:lineRule="auto"/>
        <w:tabs>
          <w:tab w:leader="none" w:pos="257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Interests in Restricted Global Notes to Unrestricted Definitive Notes</w:t>
      </w:r>
      <w:r>
        <w:rPr>
          <w:rFonts w:ascii="Times New Roman" w:cs="Times New Roman" w:eastAsia="Times New Roman" w:hAnsi="Times New Roman"/>
          <w:sz w:val="22"/>
          <w:szCs w:val="22"/>
          <w:color w:val="auto"/>
        </w:rPr>
        <w:t>. A holder of a beneficial interest in a Restricted Global Note may exchange such beneficial interest for an Unrestricted Definitive Note or may transfer such beneficial interest to a Person who takes delivery thereof in the form of an Unrestricted Definitive Note only:</w:t>
      </w:r>
    </w:p>
    <w:p>
      <w:pPr>
        <w:spacing w:after="0" w:line="176"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148"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pursuant to an effective registration statement under the Securities Act,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(3)(c) thereof,</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(3)(a) thereof; or</w:t>
      </w:r>
    </w:p>
    <w:p>
      <w:pPr>
        <w:spacing w:after="0" w:line="172" w:lineRule="exact"/>
        <w:rPr>
          <w:rFonts w:ascii="Times New Roman" w:cs="Times New Roman" w:eastAsia="Times New Roman" w:hAnsi="Times New Roman"/>
          <w:sz w:val="22"/>
          <w:szCs w:val="22"/>
          <w:color w:val="auto"/>
        </w:rPr>
      </w:pPr>
    </w:p>
    <w:p>
      <w:pPr>
        <w:ind w:left="3060" w:hanging="498"/>
        <w:spacing w:after="0"/>
        <w:tabs>
          <w:tab w:leader="none" w:pos="30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Registrar or the Transfer Agent receives the following:</w:t>
      </w:r>
    </w:p>
    <w:p>
      <w:pPr>
        <w:spacing w:after="0" w:line="233" w:lineRule="exact"/>
        <w:rPr>
          <w:rFonts w:ascii="Times New Roman" w:cs="Times New Roman" w:eastAsia="Times New Roman" w:hAnsi="Times New Roman"/>
          <w:sz w:val="22"/>
          <w:szCs w:val="22"/>
          <w:color w:val="auto"/>
        </w:rPr>
      </w:pPr>
    </w:p>
    <w:p>
      <w:pPr>
        <w:jc w:val="both"/>
        <w:ind w:left="2600" w:firstLine="648"/>
        <w:spacing w:after="0" w:line="257" w:lineRule="auto"/>
        <w:tabs>
          <w:tab w:leader="none" w:pos="3849"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exchange such beneficial interest for an Unrestricted Definitive Note, a certificate from such holder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including the certifications in item (1)(b) thereof; or</w:t>
      </w:r>
    </w:p>
    <w:p>
      <w:pPr>
        <w:sectPr>
          <w:pgSz w:w="11900" w:h="16838" w:orient="portrait"/>
          <w:cols w:equalWidth="0" w:num="1">
            <w:col w:w="11240"/>
          </w:cols>
          <w:pgMar w:left="320" w:top="1422" w:right="339" w:bottom="1440" w:gutter="0" w:footer="0" w:header="0"/>
        </w:sectPr>
      </w:pPr>
    </w:p>
    <w:bookmarkStart w:id="67" w:name="page68"/>
    <w:bookmarkEnd w:id="67"/>
    <w:p>
      <w:pPr>
        <w:jc w:val="both"/>
        <w:ind w:left="2600" w:firstLine="648"/>
        <w:spacing w:after="0" w:line="256" w:lineRule="auto"/>
        <w:tabs>
          <w:tab w:leader="none" w:pos="37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beneficial interest in a Restricted Global Note proposes to transfer such beneficial interest to a Person who shall take delivery thereof in the form of an Unrestricted Definitive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and, in each such case set forth in this subparagraph (C),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3" w:lineRule="exact"/>
        <w:rPr>
          <w:sz w:val="20"/>
          <w:szCs w:val="20"/>
          <w:color w:val="auto"/>
        </w:rPr>
      </w:pPr>
    </w:p>
    <w:p>
      <w:pPr>
        <w:jc w:val="both"/>
        <w:ind w:left="1300" w:firstLine="652"/>
        <w:spacing w:after="0" w:line="260" w:lineRule="auto"/>
        <w:tabs>
          <w:tab w:leader="none" w:pos="2443"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Beneficial Interests in Unrestricted Global Notes to Unrestricted Definitive Notes</w:t>
      </w:r>
      <w:r>
        <w:rPr>
          <w:rFonts w:ascii="Times New Roman" w:cs="Times New Roman" w:eastAsia="Times New Roman" w:hAnsi="Times New Roman"/>
          <w:sz w:val="21"/>
          <w:szCs w:val="21"/>
          <w:color w:val="auto"/>
        </w:rPr>
        <w:t>. If any holder of a beneficial interest in an Unrestricted Global Note proposes to exchange such beneficial interest for an Unrestricted Definitive Note or to transfer such beneficial interest to a Person who takes delivery thereof in the form of an Unrestricted Definitive Note, then, upon satisfaction of the conditions set forth in Section 2.06(b)(2) above, the Trustee shall cause the aggregate principal amount of the applicable Global Note to be reduced accordingly pursuant to Section 2.06(h), and the Company shall execute and, upon receipt of an Authentication Order, the Trustee (or the Authentication Agent) shall authenticate and deliver to the Person designated in the instructions an Unrestricted Definitive Note in the appropriate principal amount. Any Unrestricted Definitive Note issued in exchange for a beneficial interest pursuant to this Section 2.06(c)(3) will be registered in such name or names and in such authorized denomination or denominations as the holder of such beneficial interest requests through instructions to the Registrar or the Transfer Agent from or through the applicable Depositary and the Participant or Indirect Participant. The Trustee or the Registrar (as the case may be) shall deliver such Unrestricted Definitive Notes to the Persons in whose names such Notes are so registered. Any Unrestricted Definitive Note issued in exchange for a beneficial interest pursuant to this Section 2.06(c)(3) will not bear the Private Placement Legend.</w:t>
      </w:r>
    </w:p>
    <w:p>
      <w:pPr>
        <w:spacing w:after="0" w:line="171"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Definitive Notes for Beneficial Interests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2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Beneficial Interests in Restricted Global Notes</w:t>
      </w:r>
      <w:r>
        <w:rPr>
          <w:rFonts w:ascii="Times New Roman" w:cs="Times New Roman" w:eastAsia="Times New Roman" w:hAnsi="Times New Roman"/>
          <w:sz w:val="22"/>
          <w:szCs w:val="22"/>
          <w:color w:val="auto"/>
        </w:rPr>
        <w:t>. If any Holder of a Restricted Definitive Note proposes to exchange such Restricted Definitive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78" w:lineRule="exact"/>
        <w:rPr>
          <w:rFonts w:ascii="Times New Roman" w:cs="Times New Roman" w:eastAsia="Times New Roman" w:hAnsi="Times New Roman"/>
          <w:sz w:val="22"/>
          <w:szCs w:val="22"/>
          <w:color w:val="auto"/>
        </w:rPr>
      </w:pPr>
    </w:p>
    <w:p>
      <w:pPr>
        <w:ind w:left="1920" w:firstLine="642"/>
        <w:spacing w:after="0" w:line="271" w:lineRule="auto"/>
        <w:tabs>
          <w:tab w:leader="none" w:pos="3249"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Holder of such Restricted Definitive Note proposes to exchange such Note for a beneficial interest in a Restricted Global Note, a</w:t>
      </w:r>
    </w:p>
    <w:p>
      <w:pPr>
        <w:sectPr>
          <w:pgSz w:w="11900" w:h="16838" w:orient="portrait"/>
          <w:cols w:equalWidth="0" w:num="1">
            <w:col w:w="11240"/>
          </w:cols>
          <w:pgMar w:left="320" w:top="1422" w:right="339" w:bottom="1440" w:gutter="0" w:footer="0" w:header="0"/>
        </w:sectPr>
      </w:pPr>
    </w:p>
    <w:bookmarkStart w:id="68" w:name="page69"/>
    <w:bookmarkEnd w:id="68"/>
    <w:p>
      <w:pPr>
        <w:ind w:left="1920"/>
        <w:spacing w:after="0" w:line="271" w:lineRule="auto"/>
        <w:rPr>
          <w:sz w:val="20"/>
          <w:szCs w:val="20"/>
          <w:color w:val="auto"/>
        </w:rPr>
      </w:pPr>
      <w:r>
        <w:rPr>
          <w:rFonts w:ascii="Times New Roman" w:cs="Times New Roman" w:eastAsia="Times New Roman" w:hAnsi="Times New Roman"/>
          <w:sz w:val="22"/>
          <w:szCs w:val="22"/>
          <w:color w:val="auto"/>
        </w:rPr>
        <w:t xml:space="preserve">certificate from such Holder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including the certifications in item (2)(b) thereof;</w:t>
      </w:r>
    </w:p>
    <w:p>
      <w:pPr>
        <w:spacing w:after="0" w:line="158" w:lineRule="exact"/>
        <w:rPr>
          <w:sz w:val="20"/>
          <w:szCs w:val="20"/>
          <w:color w:val="auto"/>
        </w:rPr>
      </w:pPr>
    </w:p>
    <w:p>
      <w:pPr>
        <w:ind w:left="1920" w:firstLine="642"/>
        <w:spacing w:after="0" w:line="309" w:lineRule="auto"/>
        <w:tabs>
          <w:tab w:leader="none" w:pos="307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including the certifications in item (1) thereof;</w:t>
      </w:r>
    </w:p>
    <w:p>
      <w:pPr>
        <w:spacing w:after="0" w:line="120" w:lineRule="exact"/>
        <w:rPr>
          <w:rFonts w:ascii="Times New Roman" w:cs="Times New Roman" w:eastAsia="Times New Roman" w:hAnsi="Times New Roman"/>
          <w:sz w:val="21"/>
          <w:szCs w:val="21"/>
          <w:color w:val="auto"/>
        </w:rPr>
      </w:pPr>
    </w:p>
    <w:p>
      <w:pPr>
        <w:jc w:val="both"/>
        <w:ind w:left="1920" w:firstLine="642"/>
        <w:spacing w:after="0" w:line="257" w:lineRule="auto"/>
        <w:tabs>
          <w:tab w:leader="none" w:pos="316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to a non-U.S. Person in an offshore transaction in accordance with Rule 903 or Rule 904,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w:t>
      </w:r>
    </w:p>
    <w:p>
      <w:pPr>
        <w:spacing w:after="0" w:line="172"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306"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to the Company or any of its Subsidiaries,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(4) thereof,</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Trustee shall cancel the Restricted Definitive Note, increase or cause to be increased the aggregate principal amount of, in the case of clause (A) above, the appropriate Restricted Global Note, in the case of clause (B) above, the appropriate 144A Global Note, and in the case of clause (C) or (D) above, the appropriate Regulation S Global Note.</w:t>
      </w:r>
    </w:p>
    <w:p>
      <w:pPr>
        <w:spacing w:after="0" w:line="173" w:lineRule="exact"/>
        <w:rPr>
          <w:sz w:val="20"/>
          <w:szCs w:val="20"/>
          <w:color w:val="auto"/>
        </w:rPr>
      </w:pPr>
    </w:p>
    <w:p>
      <w:pPr>
        <w:jc w:val="both"/>
        <w:ind w:left="1300" w:firstLine="652"/>
        <w:spacing w:after="0" w:line="256" w:lineRule="auto"/>
        <w:tabs>
          <w:tab w:leader="none" w:pos="256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Beneficial Interests in Unrestricted Global Notes</w:t>
      </w:r>
      <w:r>
        <w:rPr>
          <w:rFonts w:ascii="Times New Roman" w:cs="Times New Roman" w:eastAsia="Times New Roman" w:hAnsi="Times New Roman"/>
          <w:sz w:val="22"/>
          <w:szCs w:val="22"/>
          <w:color w:val="auto"/>
        </w:rPr>
        <w:t>. A Holder of a Restricted Definitive Note may exchange such Restricted Definitive Note for a beneficial interest in an Unrestricted Global Note or transfer such Restricted Definitive Note to a Person who takes delivery thereof in the form of a beneficial interest in an Unrestricted Global Note only:</w:t>
      </w:r>
    </w:p>
    <w:p>
      <w:pPr>
        <w:spacing w:after="0" w:line="176" w:lineRule="exact"/>
        <w:rPr>
          <w:rFonts w:ascii="Times New Roman" w:cs="Times New Roman" w:eastAsia="Times New Roman" w:hAnsi="Times New Roman"/>
          <w:sz w:val="22"/>
          <w:szCs w:val="22"/>
          <w:color w:val="auto"/>
        </w:rPr>
      </w:pPr>
    </w:p>
    <w:p>
      <w:pPr>
        <w:jc w:val="both"/>
        <w:ind w:left="1920" w:firstLine="642"/>
        <w:spacing w:after="0" w:line="263" w:lineRule="auto"/>
        <w:tabs>
          <w:tab w:leader="none" w:pos="3182"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pursuant to an effective registration statement under the Securities Act,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(3)(c) thereof;</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89"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such Restricted Definitive Note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(3)(a) thereof; or</w:t>
      </w:r>
    </w:p>
    <w:p>
      <w:pPr>
        <w:spacing w:after="0" w:line="172" w:lineRule="exact"/>
        <w:rPr>
          <w:rFonts w:ascii="Times New Roman" w:cs="Times New Roman" w:eastAsia="Times New Roman" w:hAnsi="Times New Roman"/>
          <w:sz w:val="22"/>
          <w:szCs w:val="22"/>
          <w:color w:val="auto"/>
        </w:rPr>
      </w:pPr>
    </w:p>
    <w:p>
      <w:pPr>
        <w:ind w:left="3060" w:hanging="498"/>
        <w:spacing w:after="0"/>
        <w:tabs>
          <w:tab w:leader="none" w:pos="30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receives the following:</w:t>
      </w:r>
    </w:p>
    <w:p>
      <w:pPr>
        <w:spacing w:after="0" w:line="233" w:lineRule="exact"/>
        <w:rPr>
          <w:rFonts w:ascii="Times New Roman" w:cs="Times New Roman" w:eastAsia="Times New Roman" w:hAnsi="Times New Roman"/>
          <w:sz w:val="22"/>
          <w:szCs w:val="22"/>
          <w:color w:val="auto"/>
        </w:rPr>
      </w:pPr>
    </w:p>
    <w:p>
      <w:pPr>
        <w:jc w:val="both"/>
        <w:ind w:left="2600" w:firstLine="648"/>
        <w:spacing w:after="0" w:line="275" w:lineRule="auto"/>
        <w:tabs>
          <w:tab w:leader="none" w:pos="3705" w:val="left"/>
        </w:tabs>
        <w:numPr>
          <w:ilvl w:val="2"/>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Holder of such Restricted Definitive Note proposes to exchange such Restricted Definitive Note for a beneficial interest in the Unrestricted Global Note, a certificate from such Holder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including the certifications in item (1)(c) thereof; or</w:t>
      </w:r>
    </w:p>
    <w:p>
      <w:pPr>
        <w:sectPr>
          <w:pgSz w:w="11900" w:h="16838" w:orient="portrait"/>
          <w:cols w:equalWidth="0" w:num="1">
            <w:col w:w="11240"/>
          </w:cols>
          <w:pgMar w:left="320" w:top="1422" w:right="339" w:bottom="1440" w:gutter="0" w:footer="0" w:header="0"/>
        </w:sectPr>
      </w:pPr>
    </w:p>
    <w:bookmarkStart w:id="69" w:name="page70"/>
    <w:bookmarkEnd w:id="69"/>
    <w:p>
      <w:pPr>
        <w:jc w:val="both"/>
        <w:ind w:left="2600" w:firstLine="648"/>
        <w:spacing w:after="0" w:line="256" w:lineRule="auto"/>
        <w:tabs>
          <w:tab w:leader="none" w:pos="3789"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transfer such Restricted Definitive Note to a Person who shall take delivery thereof in the form of a beneficial interest in the Unrestricted Global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and, in each such case set forth in this subparagraph (C),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93" w:lineRule="exact"/>
        <w:rPr>
          <w:sz w:val="20"/>
          <w:szCs w:val="20"/>
          <w:color w:val="auto"/>
        </w:rPr>
      </w:pPr>
    </w:p>
    <w:p>
      <w:pPr>
        <w:jc w:val="both"/>
        <w:ind w:left="1300" w:right="20" w:firstLine="1296"/>
        <w:spacing w:after="0" w:line="257" w:lineRule="auto"/>
        <w:rPr>
          <w:sz w:val="20"/>
          <w:szCs w:val="20"/>
          <w:color w:val="auto"/>
        </w:rPr>
      </w:pPr>
      <w:r>
        <w:rPr>
          <w:rFonts w:ascii="Times New Roman" w:cs="Times New Roman" w:eastAsia="Times New Roman" w:hAnsi="Times New Roman"/>
          <w:sz w:val="22"/>
          <w:szCs w:val="22"/>
          <w:color w:val="auto"/>
        </w:rPr>
        <w:t>Upon satisfaction of the conditions of any of the subparagraphs in this Section 2.06(d)(2), the Trustee shall cancel the Definitive Note and increase or cause to be increased the aggregate principal amount of the Unrestricted Global Note.</w:t>
      </w:r>
    </w:p>
    <w:p>
      <w:pPr>
        <w:spacing w:after="0" w:line="173" w:lineRule="exact"/>
        <w:rPr>
          <w:sz w:val="20"/>
          <w:szCs w:val="20"/>
          <w:color w:val="auto"/>
        </w:rPr>
      </w:pPr>
    </w:p>
    <w:p>
      <w:pPr>
        <w:jc w:val="both"/>
        <w:ind w:left="1300" w:firstLine="652"/>
        <w:spacing w:after="0" w:line="251" w:lineRule="auto"/>
        <w:tabs>
          <w:tab w:leader="none" w:pos="249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Unrestricted Definitive Notes to Beneficial Interests in Unrestricted Global Notes. A Holder of an Unrestricted Definitive Note may exchange such Unrestricted Definitive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the relevant Unrestricted Global Note.</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If any such exchange or transfer from an Unrestricted Definitive Note to a beneficial interest is effected pursuant to this subparagraph (3) at a time when an Unrestricted Global Note has not yet been issued, the Company shall issue and, upon receipt of an Authentication Order, the Trustee or Authentication Agent shall authenticate one or more Unrestricted Global Notes in an aggregate principal amount equal to the principal amount of Unrestricted Definitive Notes so transferred.</w:t>
      </w:r>
    </w:p>
    <w:p>
      <w:pPr>
        <w:spacing w:after="0" w:line="176" w:lineRule="exact"/>
        <w:rPr>
          <w:sz w:val="20"/>
          <w:szCs w:val="20"/>
          <w:color w:val="auto"/>
        </w:rPr>
      </w:pPr>
    </w:p>
    <w:p>
      <w:pPr>
        <w:jc w:val="both"/>
        <w:ind w:firstLine="1304"/>
        <w:spacing w:after="0" w:line="250" w:lineRule="auto"/>
        <w:tabs>
          <w:tab w:leader="none" w:pos="184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and Exchange of Definitive Notes for Definitive Notes</w:t>
      </w:r>
      <w:r>
        <w:rPr>
          <w:rFonts w:ascii="Times New Roman" w:cs="Times New Roman" w:eastAsia="Times New Roman" w:hAnsi="Times New Roman"/>
          <w:sz w:val="22"/>
          <w:szCs w:val="22"/>
          <w:color w:val="auto"/>
        </w:rPr>
        <w:t>. Upon request by a Holder of Definitive Notes and 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and duly executed by such Holder or by its attorney, duly authorized in writing. In addition, the requesting Holder must provide any additional certifications, documents and information, as applicable, required pursuant to the following provisions of this Section 2.06(e).</w:t>
      </w:r>
    </w:p>
    <w:p>
      <w:pPr>
        <w:sectPr>
          <w:pgSz w:w="11900" w:h="16838" w:orient="portrait"/>
          <w:cols w:equalWidth="0" w:num="1">
            <w:col w:w="11240"/>
          </w:cols>
          <w:pgMar w:left="320" w:top="1422" w:right="339" w:bottom="1440" w:gutter="0" w:footer="0" w:header="0"/>
        </w:sectPr>
      </w:pPr>
    </w:p>
    <w:bookmarkStart w:id="70" w:name="page71"/>
    <w:bookmarkEnd w:id="70"/>
    <w:p>
      <w:pPr>
        <w:jc w:val="both"/>
        <w:ind w:left="180" w:firstLine="652"/>
        <w:spacing w:after="0" w:line="257" w:lineRule="auto"/>
        <w:tabs>
          <w:tab w:leader="none" w:pos="136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Restricted Definitive Notes</w:t>
      </w:r>
      <w:r>
        <w:rPr>
          <w:rFonts w:ascii="Times New Roman" w:cs="Times New Roman" w:eastAsia="Times New Roman" w:hAnsi="Times New Roman"/>
          <w:sz w:val="22"/>
          <w:szCs w:val="22"/>
          <w:color w:val="auto"/>
        </w:rPr>
        <w:t>. Any Restricted Definitive Note may be transferred to and registered in the name of a Person who takes delivery thereof in the form of a Restricted Definitive Note if the Registrar receives the following:</w:t>
      </w:r>
    </w:p>
    <w:p>
      <w:pPr>
        <w:spacing w:after="0" w:line="186"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214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transfer will be made pursuant to Rule 144A under the Securities Act, then the transferor must deliver a certificate in the form of Exhibit B hereto, including the certifications in item (1) thereof;</w:t>
      </w:r>
    </w:p>
    <w:p>
      <w:pPr>
        <w:spacing w:after="0" w:line="172" w:lineRule="exact"/>
        <w:rPr>
          <w:rFonts w:ascii="Times New Roman" w:cs="Times New Roman" w:eastAsia="Times New Roman" w:hAnsi="Times New Roman"/>
          <w:sz w:val="22"/>
          <w:szCs w:val="22"/>
          <w:color w:val="auto"/>
        </w:rPr>
      </w:pPr>
    </w:p>
    <w:p>
      <w:pPr>
        <w:ind w:left="800" w:firstLine="642"/>
        <w:spacing w:after="0" w:line="271" w:lineRule="auto"/>
        <w:tabs>
          <w:tab w:leader="none" w:pos="1967"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in item (2) thereof; and</w:t>
      </w:r>
    </w:p>
    <w:p>
      <w:pPr>
        <w:spacing w:after="0" w:line="171"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2225"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certifications required by item (3) thereof.</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2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Definitive Notes to Unrestricted Definitive Notes</w:t>
      </w:r>
      <w:r>
        <w:rPr>
          <w:rFonts w:ascii="Times New Roman" w:cs="Times New Roman" w:eastAsia="Times New Roman" w:hAnsi="Times New Roman"/>
          <w:sz w:val="22"/>
          <w:szCs w:val="22"/>
          <w:color w:val="auto"/>
        </w:rPr>
        <w:t>. Any Restricted Definitive Note may be exchanged by the Holder thereof for an Unrestricted Definitive Note or transferred to a Person who takes delivery thereof in the form of an Unrestricted Definitive Note if the Registrar receives the following:</w:t>
      </w:r>
    </w:p>
    <w:p>
      <w:pPr>
        <w:spacing w:after="0" w:line="186"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215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exchange such Restricted Definitive Note for an Unrestricted Definitive Note, a certificate from such Holder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 including the certifications in item (1)(d) thereof; or</w:t>
      </w:r>
    </w:p>
    <w:p>
      <w:pPr>
        <w:spacing w:after="0" w:line="172" w:lineRule="exact"/>
        <w:rPr>
          <w:rFonts w:ascii="Times New Roman" w:cs="Times New Roman" w:eastAsia="Times New Roman" w:hAnsi="Times New Roman"/>
          <w:sz w:val="22"/>
          <w:szCs w:val="22"/>
          <w:color w:val="auto"/>
        </w:rPr>
      </w:pPr>
    </w:p>
    <w:p>
      <w:pPr>
        <w:jc w:val="both"/>
        <w:ind w:left="800" w:firstLine="642"/>
        <w:spacing w:after="0" w:line="256" w:lineRule="auto"/>
        <w:tabs>
          <w:tab w:leader="none" w:pos="2178"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of such Restricted Definitive Note proposes to transfer such Restricted Definitive Note to a Person who shall take delivery thereof in the form of an Unrestricted Definitive Note, a certificate from such Holder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including the appropriate certifications in item (3) thereof,</w:t>
      </w:r>
    </w:p>
    <w:p>
      <w:pPr>
        <w:spacing w:after="0" w:line="176"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22"/>
          <w:szCs w:val="22"/>
          <w:color w:val="auto"/>
        </w:rPr>
        <w:t>and, in each such case,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8" w:lineRule="exact"/>
        <w:rPr>
          <w:sz w:val="20"/>
          <w:szCs w:val="20"/>
          <w:color w:val="auto"/>
        </w:rPr>
      </w:pPr>
    </w:p>
    <w:p>
      <w:pPr>
        <w:jc w:val="both"/>
        <w:ind w:left="180" w:firstLine="652"/>
        <w:spacing w:after="0" w:line="257" w:lineRule="auto"/>
        <w:tabs>
          <w:tab w:leader="none" w:pos="135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Unrestricted Definitive Notes to Unrestricted Definitive Notes</w:t>
      </w:r>
      <w:r>
        <w:rPr>
          <w:rFonts w:ascii="Times New Roman" w:cs="Times New Roman" w:eastAsia="Times New Roman" w:hAnsi="Times New Roman"/>
          <w:sz w:val="22"/>
          <w:szCs w:val="22"/>
          <w:color w:val="auto"/>
        </w:rPr>
        <w:t>. A Holder of Unrestricted Definitive Notes may transfer such Unrestricted Definitive Notes to a Person who takes delivery thereof in the form of an Unrestricted Definitive Note. Upon receipt of a request to register such a transfer, the Registrar</w:t>
      </w:r>
    </w:p>
    <w:p>
      <w:pPr>
        <w:sectPr>
          <w:pgSz w:w="11900" w:h="16838" w:orient="portrait"/>
          <w:cols w:equalWidth="0" w:num="1">
            <w:col w:w="10120"/>
          </w:cols>
          <w:pgMar w:left="1440" w:top="1422" w:right="3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22"/>
          <w:szCs w:val="22"/>
          <w:color w:val="auto"/>
        </w:rPr>
        <w:t>shall register the Unrestricted Definitive Notes pursuant to the instructions from the Holder thereof.</w:t>
      </w:r>
    </w:p>
    <w:p>
      <w:pPr>
        <w:spacing w:after="0" w:line="220" w:lineRule="exact"/>
        <w:rPr>
          <w:sz w:val="20"/>
          <w:szCs w:val="20"/>
          <w:color w:val="auto"/>
        </w:rPr>
      </w:pPr>
    </w:p>
    <w:p>
      <w:pPr>
        <w:ind w:left="1740" w:hanging="436"/>
        <w:spacing w:after="0"/>
        <w:tabs>
          <w:tab w:leader="none" w:pos="17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Intentionally Omitted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845"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Legends.</w:t>
      </w:r>
      <w:r>
        <w:rPr>
          <w:rFonts w:ascii="Times New Roman" w:cs="Times New Roman" w:eastAsia="Times New Roman" w:hAnsi="Times New Roman"/>
          <w:sz w:val="22"/>
          <w:szCs w:val="22"/>
          <w:color w:val="auto"/>
        </w:rPr>
        <w:t xml:space="preserve"> The following legends shall appear on the face of all Global Notes and Definitive Notes issued under this Indenture unless specifically stated otherwise in the applicable provisions of this Indenture.</w:t>
      </w:r>
    </w:p>
    <w:p>
      <w:pPr>
        <w:spacing w:after="0" w:line="14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Private Placement Legend</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32"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by subparagraph (B) below, each Global Note and each Definitive Note (and all Notes issued in exchange therefor or substitution thereof) shall bear the legend in substantially the following form:</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THIS NOTE HAS NOT BEEN REGISTERED UNDER THE UNITED STATES SECURITIES ACT OF 1933, AS AMENDED (THE “SECURITIES ACT”), AND, ACCORDINGLY, MAY NOT BE OFFERED OR SOLD, EXCEPT AS SET FORTH IN THE FOLLOWING SENTENCE. BY ITS ACQUISITION HEREOF, THE HOLDER FOR THE BENEFIT OF THE COMPANY AND THE GUARANTORS AND ANY OF THEIR SUCCESSORS IN INTEREST (1) REPRESENTS THAT (A) IT IS A “QUALIFIED INSTITUTIONAL BUYER” (AS DEFINED IN RULE 144A UNDER THE SECURITIES ACT) OR (B) IT IS NOT A U.S. PERSON AND IS ACQUIRING THIS NOTE IN AN OFFSHORE TRANSACTION, (2) AGREES THAT IT WILL NOT PRIOR TO THE DATE WHICH IS [IN THE CASE OF RULE 144A NOTES: ONE YEAR AFTER THE LATER OF THE ORIGINAL ISSUE DATE HEREOF, THE ORIGINAL ISSUE DATE OF THE ISSUANCE OF ANY ADDITIONAL NOTES AND THE LAST DATE ON WHICH THE COMPANY OR ANY AFFILIATE OF THE COMPANY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UNDER THE SECURITIES ACT OR ANY SUCCESSOR PROVISION THEREUNDER) AFTER THE LATER OF THE DATE OF ORIGINAL ISSUE AND THE LAST DATE ON WHICH THE COMPANY OR ANY AFFILIATE OF THE COMPANY WAS THE OWNER OF THE NOTES (OR ANY PREDECESSOR THERETO) (THE “RESALE RESTRICTION TERMINATION DATE”) RESELL, PLEDGE OR OTHERWISE TRANSFER THIS NOTE OR A BENEFICIAL INTEREST IN THIS NOTE EXCEPT (A) TO THE COMPANY, THE GUARANTORS OR ANY SUBSIDIARY THEREOF, (B) TO A PERSON THAT THE SELLER, AND ANY PERSON ACTING ON ITS BEHALF, REASONABLY BELIEVES IS A QUALIFIED INSTITUTIONAL BUYER IN A TRANSACTION COMPLYING WITH RULE 144A UNDER THE SECURITIES ACT, (C) PURSUANT TO OFFERS AND SALES TO NON-U.S. PERSONS IN AN OFFSHORE TRANSACTION IN COMPLIANCE WITH REGULATION S</w:t>
      </w:r>
    </w:p>
    <w:p>
      <w:pPr>
        <w:sectPr>
          <w:pgSz w:w="11900" w:h="16838" w:orient="portrait"/>
          <w:cols w:equalWidth="0" w:num="1">
            <w:col w:w="11240"/>
          </w:cols>
          <w:pgMar w:left="320" w:top="1422" w:right="339" w:bottom="1440" w:gutter="0" w:footer="0" w:header="0"/>
        </w:sectPr>
      </w:pPr>
    </w:p>
    <w:bookmarkStart w:id="72" w:name="page73"/>
    <w:bookmarkEnd w:id="72"/>
    <w:p>
      <w:pPr>
        <w:jc w:val="both"/>
        <w:spacing w:after="0" w:line="260" w:lineRule="auto"/>
        <w:rPr>
          <w:sz w:val="20"/>
          <w:szCs w:val="20"/>
          <w:color w:val="auto"/>
        </w:rPr>
      </w:pPr>
      <w:r>
        <w:rPr>
          <w:rFonts w:ascii="Times New Roman" w:cs="Times New Roman" w:eastAsia="Times New Roman" w:hAnsi="Times New Roman"/>
          <w:sz w:val="21"/>
          <w:szCs w:val="21"/>
          <w:color w:val="auto"/>
        </w:rPr>
        <w:t>UNDER THE SECURITIES ACT, (D) PURSUANT TO ANY OTHER AVAILABLE EXEMPTION FROM REGISTRATION UNDER THE SECURITIES ACT OR (E) PURSUANT TO AN EFFECTIVE REGISTRATION STATEMENT UNDER THE SECURITIES ACT, AND IN EACH OF SUCH CASES IN COMPLIANCE WITH ANY APPLICABLE SECURITIES LAW OF ANY STATE OF THE UNITED STATES AND (3) AGREES THAT IT WILL DELIVER TO EACH PERSON TO WHOM THIS NOTE IS TRANSFERRED A NOTICE SUBSTANTIALLY TO THE EFFECT OF THIS LEGEND. PROVIDED THAT THE COMPANY, THE TRUSTEE, THE TRANSFER AGENT AND THE REGISTRAR SHALL HAVE THE RIGHT PRIOR TO ANY SUCH OFFER, SALE OR TRANSFER PURSUANT TO CLAUSE (C) PRIOR TO THE END OF THE 40-DAY DISTRIBUTION COMPLIANCE PERIOD WITHIN THE MEANING OF REGULATION S UNDER THE U.S. SECURITIES ACT OR PURSUANT TO CLAUSE (D) PRIOR TO THE RESALE RESTRICTION TERMINATION DATE TO REQUIRE THAT AN OPINION OF COUNSEL, CERTIFICATIONS AND/OR OTHER INFORMATION SATISFACTORY TO THE COMPANY, THE TRUSTEE, THE TRANSFER AGENT AND THE REGISTRAR IS COMPLETED AND DELIVERED BY THE TRANSFEROR. THIS LEGEND WILL BE REMOVED UPON THE REQUEST OF THE HOLDER AFTER THE RESALE RESTRICTION TERMINATION DATE. THE INDENTURE CONTAINS A PROVISION REQUIRING THE TRUSTEE, THE TRANSFER AGENT AND THE REGISTRAR TO REFUSE TO REGISTER ANY TRANSFER OF THIS NOTE IN VIOLATION OF THE FOREGOING RESTRICTIONS. AS USED HEREIN, THE TERMS “OFFSHORE TRANSACTION,” “UNITED STATES,” AND “U.S. PERSON” HAVE THE MEANING GIVEN TO THEM BY REGULATION S UNDER THE SECURITIES ACT.</w:t>
      </w:r>
    </w:p>
    <w:p>
      <w:pPr>
        <w:spacing w:after="0" w:line="200" w:lineRule="exact"/>
        <w:rPr>
          <w:sz w:val="20"/>
          <w:szCs w:val="20"/>
          <w:color w:val="auto"/>
        </w:rPr>
      </w:pPr>
    </w:p>
    <w:p>
      <w:pPr>
        <w:spacing w:after="0" w:line="231" w:lineRule="exact"/>
        <w:rPr>
          <w:sz w:val="20"/>
          <w:szCs w:val="20"/>
          <w:color w:val="auto"/>
        </w:rPr>
      </w:pPr>
    </w:p>
    <w:p>
      <w:pPr>
        <w:jc w:val="both"/>
        <w:ind w:left="1920" w:firstLine="642"/>
        <w:spacing w:after="0" w:line="263" w:lineRule="auto"/>
        <w:tabs>
          <w:tab w:leader="none" w:pos="326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any Global Note or Definitive Note issued pursuant to subparagraph (b)(4), (c)(2), (c)(3), (d)(2), (d)(3), (e)(2) or (e)(3) of this Section 2.06 (and all Notes issued in exchange therefor or substitution thereof) will not bear the Private Placement Legend.</w:t>
      </w:r>
    </w:p>
    <w:p>
      <w:pPr>
        <w:spacing w:after="0" w:line="16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Global</w:t>
      </w:r>
      <w:r>
        <w:rPr>
          <w:rFonts w:ascii="Times New Roman" w:cs="Times New Roman" w:eastAsia="Times New Roman" w:hAnsi="Times New Roman"/>
          <w:sz w:val="22"/>
          <w:szCs w:val="22"/>
          <w:color w:val="auto"/>
        </w:rPr>
        <w:t xml:space="preserve"> Note Legend. Each Global Note will bear a legend in substantially the following form:</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TRANSFERRED OR 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COMPANY.</w:t>
      </w:r>
    </w:p>
    <w:p>
      <w:pPr>
        <w:sectPr>
          <w:pgSz w:w="11900" w:h="16838" w:orient="portrait"/>
          <w:cols w:equalWidth="0" w:num="1">
            <w:col w:w="11240"/>
          </w:cols>
          <w:pgMar w:left="320" w:top="1422" w:right="339" w:bottom="1440" w:gutter="0" w:footer="0" w:header="0"/>
        </w:sectPr>
      </w:pPr>
    </w:p>
    <w:bookmarkStart w:id="73" w:name="page74"/>
    <w:bookmarkEnd w:id="73"/>
    <w:p>
      <w:pPr>
        <w:jc w:val="both"/>
        <w:spacing w:after="0" w:line="248" w:lineRule="auto"/>
        <w:rPr>
          <w:sz w:val="20"/>
          <w:szCs w:val="20"/>
          <w:color w:val="auto"/>
        </w:rPr>
      </w:pPr>
      <w:r>
        <w:rPr>
          <w:rFonts w:ascii="Times New Roman" w:cs="Times New Roman" w:eastAsia="Times New Roman" w:hAnsi="Times New Roman"/>
          <w:sz w:val="22"/>
          <w:szCs w:val="22"/>
          <w:color w:val="auto"/>
        </w:rPr>
        <w:t>UNLESS AND UNTIL IT IS EXCHANGED IN WHOLE OR IN PART FOR NOTES IN DEFINITIVE FORM, THIS GLOBAL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ind w:firstLine="1304"/>
        <w:spacing w:after="0" w:line="249" w:lineRule="auto"/>
        <w:tabs>
          <w:tab w:leader="none" w:pos="1885"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 and/or Adjustment of Global Notes.</w:t>
      </w:r>
      <w:r>
        <w:rPr>
          <w:rFonts w:ascii="Times New Roman" w:cs="Times New Roman" w:eastAsia="Times New Roman" w:hAnsi="Times New Roman"/>
          <w:sz w:val="22"/>
          <w:szCs w:val="22"/>
          <w:color w:val="auto"/>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2.11.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w:t>
      </w:r>
    </w:p>
    <w:p>
      <w:pPr>
        <w:spacing w:after="0" w:line="18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 Relating to Transfers and Exchanges.</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2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permit registrations of transfers and exchanges, the Company shall execute and the Trustee (or the Authentication Agent) shall authenticate Global Notes and Definitive Notes upon receipt of an Authentication Order or at the Registrar’s request.</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5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service charge will be made to a Holder of a Global Note or to a Holder of a Definitive Note for any registration of transfer or exchange, but the Company may require payment by any such Holder of a sum sufficient to cover any transfer tax or similar governmental charge payable in connection therewith</w:t>
      </w:r>
    </w:p>
    <w:p>
      <w:pPr>
        <w:sectPr>
          <w:pgSz w:w="11900" w:h="16838" w:orient="portrait"/>
          <w:cols w:equalWidth="0" w:num="1">
            <w:col w:w="11240"/>
          </w:cols>
          <w:pgMar w:left="320" w:top="1422" w:right="339" w:bottom="1440" w:gutter="0" w:footer="0" w:header="0"/>
        </w:sectPr>
      </w:pPr>
    </w:p>
    <w:bookmarkStart w:id="74" w:name="page75"/>
    <w:bookmarkEnd w:id="74"/>
    <w:p>
      <w:pPr>
        <w:ind w:left="1300"/>
        <w:spacing w:after="0" w:line="271" w:lineRule="auto"/>
        <w:rPr>
          <w:sz w:val="20"/>
          <w:szCs w:val="20"/>
          <w:color w:val="auto"/>
        </w:rPr>
      </w:pPr>
      <w:r>
        <w:rPr>
          <w:rFonts w:ascii="Times New Roman" w:cs="Times New Roman" w:eastAsia="Times New Roman" w:hAnsi="Times New Roman"/>
          <w:sz w:val="22"/>
          <w:szCs w:val="22"/>
          <w:color w:val="auto"/>
        </w:rPr>
        <w:t>(other than any such transfer taxes or similar governmental charge payable upon exchange or transfer pursuant to Sections 2.06, 3.06, 3.09, 4.10, 4.15 and 9.05).</w:t>
      </w:r>
    </w:p>
    <w:p>
      <w:pPr>
        <w:spacing w:after="0" w:line="158" w:lineRule="exact"/>
        <w:rPr>
          <w:sz w:val="20"/>
          <w:szCs w:val="20"/>
          <w:color w:val="auto"/>
        </w:rPr>
      </w:pPr>
    </w:p>
    <w:p>
      <w:pPr>
        <w:ind w:left="1300" w:firstLine="652"/>
        <w:spacing w:after="0" w:line="284" w:lineRule="auto"/>
        <w:tabs>
          <w:tab w:leader="none" w:pos="255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Registrar will not be required to register the transfer of or exchange any Note selected for redemption in whole or in part, except the unredeemed portion of any Note being redeemed in part.</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2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192"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Registrar shall not be required to:</w:t>
      </w:r>
    </w:p>
    <w:p>
      <w:pPr>
        <w:spacing w:after="0" w:line="219"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68"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to register the transfer of or to exchange any Notes during a period beginning at the opening of business 15 days before the day of any selection of Notes for redemption under Section 3.02 and ending at the close of business on the day of selection;</w:t>
      </w:r>
    </w:p>
    <w:p>
      <w:pPr>
        <w:spacing w:after="0" w:line="172" w:lineRule="exact"/>
        <w:rPr>
          <w:rFonts w:ascii="Times New Roman" w:cs="Times New Roman" w:eastAsia="Times New Roman" w:hAnsi="Times New Roman"/>
          <w:sz w:val="22"/>
          <w:szCs w:val="22"/>
          <w:color w:val="auto"/>
        </w:rPr>
      </w:pPr>
    </w:p>
    <w:p>
      <w:pPr>
        <w:ind w:left="1920" w:firstLine="642"/>
        <w:spacing w:after="0" w:line="271" w:lineRule="auto"/>
        <w:tabs>
          <w:tab w:leader="none" w:pos="313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or to exchange any Note selected for redemption in whole or in part, except the unredeemed portion of any Note being redeemed in part; or</w:t>
      </w:r>
    </w:p>
    <w:p>
      <w:pPr>
        <w:spacing w:after="0" w:line="171" w:lineRule="exact"/>
        <w:rPr>
          <w:rFonts w:ascii="Times New Roman" w:cs="Times New Roman" w:eastAsia="Times New Roman" w:hAnsi="Times New Roman"/>
          <w:sz w:val="22"/>
          <w:szCs w:val="22"/>
          <w:color w:val="auto"/>
        </w:rPr>
      </w:pPr>
    </w:p>
    <w:p>
      <w:pPr>
        <w:ind w:left="1920" w:firstLine="642"/>
        <w:spacing w:after="0" w:line="271" w:lineRule="auto"/>
        <w:tabs>
          <w:tab w:leader="none" w:pos="312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register the transfer of or to exchange a Note between a record date and the next succeeding interest payment date.</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3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4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(or the Authentication Agent) shall authenticate Global Notes and Definitive Notes in accordance with the provisions of Section 2.02.</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53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171"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u w:val="single" w:color="auto"/>
          <w:color w:val="auto"/>
        </w:rPr>
        <w:t>Replacement Notes</w:t>
      </w:r>
      <w:r>
        <w:rPr>
          <w:rFonts w:ascii="Times New Roman" w:cs="Times New Roman" w:eastAsia="Times New Roman" w:hAnsi="Times New Roman"/>
          <w:sz w:val="21"/>
          <w:szCs w:val="21"/>
          <w:color w:val="auto"/>
        </w:rPr>
        <w:t>. If any mutilated Note is surrendered to the Trustee or the Company or the Trustee receives evidence to its satisfaction of the destruction, loss or theft of any Note, the Company shall issue and the Trustee (or the Authentication Agent), upon receipt of an Authentication Order, shall authenticate a replacement Note if the Trustee’s</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22"/>
          <w:szCs w:val="22"/>
          <w:color w:val="auto"/>
        </w:rPr>
        <w:t>requirements are met. If required by the Trustee or the Company, an indemnity bond must be supplied by the Holder that is sufficient in the judgment of the Trustee and the Company to protect the Company, the Trustee, any Agent and any Authentication Agent from any loss that any of them may suffer if a Note is replaced. The Company may charge for its expenses in replacing a Note.</w:t>
      </w:r>
    </w:p>
    <w:p>
      <w:pPr>
        <w:spacing w:after="0" w:line="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If, after the delivery of such replacement Note, a bona fide purchaser of the original Note in lieu of which such replacement Note was issued presents for payment or registration such original Note, the Trustee shall be entitled to recover such replacement Note from the Person to whom it was delivered or any Person taking therefrom, except a bona fide purchaser, and shall be entitled to recover upon the security or indemnity provided therefor to the extent of any loss, damage, cost or expense incurred by the Company, the Trustee, any Agent and any Authentication Agent in connection therewith.</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Subject to the provisions of the final sentence of the preceding paragraph of this Section 2.07, every replacement Note is an obligation of the Company and shall be entitled to all the benefits of this Indenture equally and proportionately with all other Notes duly issued hereunder.</w:t>
      </w:r>
    </w:p>
    <w:p>
      <w:pPr>
        <w:spacing w:after="0" w:line="17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Outstanding Notes</w:t>
      </w:r>
      <w:r>
        <w:rPr>
          <w:rFonts w:ascii="Times New Roman" w:cs="Times New Roman" w:eastAsia="Times New Roman" w:hAnsi="Times New Roman"/>
          <w:sz w:val="22"/>
          <w:szCs w:val="22"/>
          <w:color w:val="auto"/>
        </w:rPr>
        <w:t>. The Notes outstanding at any time are all the Notes authenticated by the Trustee or the Authentication Agent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a Note does not cease to be outstanding because the Company or an Affiliate of the Company holds the Note; provided, however, that Notes held by the Company or a Subsidiary of the Company shall not be deemed to be outstanding for purposes of Section 3.07.</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If a Note is replaced pursuant to Section 2.07, it ceases to be outstanding unless the Trustee receives proof satisfactory to it that the replaced Note is held by a bona fide purchaser in whose hands such Note is a legal, valid and binding obligation of the Company.</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If the entire principal amount and premium, if any, of any Note is considered paid under Section 4.01, it ceases to be outstanding and interest on it ceases to accrue.</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If the Paying Agent holds, on a redemption date or maturity date, money sufficient to pay Notes payable on that date, and is not prohibited from paying such money to the Holders pursuant to the terms of this Indenture, then on and after that date such Notes will be deemed to be no longer outstanding and will cease to accrue interest.</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or may be embodied in or evidenced by an electronic transmission which identifies the documents containing the proposal on which such consent is requested and certifies such Holders’ consent thereto and agreement to be bound thereby; and, except as herein otherwise expressly provided, such action shall become effective</w:t>
      </w:r>
    </w:p>
    <w:p>
      <w:pPr>
        <w:sectPr>
          <w:pgSz w:w="11900" w:h="16838" w:orient="portrait"/>
          <w:cols w:equalWidth="0" w:num="1">
            <w:col w:w="11240"/>
          </w:cols>
          <w:pgMar w:left="320" w:top="142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when such instrument or instruments are delivered to the Trustee, and where it is hereby expressly required, to the Company.</w:t>
      </w:r>
    </w:p>
    <w:p>
      <w:pPr>
        <w:spacing w:after="0" w:line="22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Treasury Notes</w:t>
      </w:r>
      <w:r>
        <w:rPr>
          <w:rFonts w:ascii="Times New Roman" w:cs="Times New Roman" w:eastAsia="Times New Roman" w:hAnsi="Times New Roman"/>
          <w:sz w:val="22"/>
          <w:szCs w:val="22"/>
          <w:color w:val="auto"/>
        </w:rPr>
        <w:t>. In determining whether the Holders of the required principal amount of the Notes have concurred in any direction, waiver or consent, the Notes owned by the Company or by any Person directly or indirectly controlling, or controlled by, or under direct or indirect common control with, the Company will be treated as though they are not outstanding.</w:t>
      </w:r>
    </w:p>
    <w:p>
      <w:pPr>
        <w:spacing w:after="0" w:line="17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Temporary Notes</w:t>
      </w:r>
      <w:r>
        <w:rPr>
          <w:rFonts w:ascii="Times New Roman" w:cs="Times New Roman" w:eastAsia="Times New Roman" w:hAnsi="Times New Roman"/>
          <w:sz w:val="22"/>
          <w:szCs w:val="22"/>
          <w:color w:val="auto"/>
        </w:rPr>
        <w:t>. Until certificates representing Notes are ready for delivery, the Company may prepare and the Trustee or the Authentication Agent, upon receipt of an Authentication Order, shall authenticate, temporary Notes. Temporary Notes will be substantially in the form of certificated Notes but may have variations that the Company considers appropriate for temporary Notes and as may be reasonably acceptable to the Trustee. Without unreasonable delay, the Company shall prepare and the Trustee (or the Authentication Agent) shall authenticate Definitive Notes in exchange for temporary Notes. Holders of temporary Notes will be entitled to all the benefits of this Indenture.</w:t>
      </w:r>
    </w:p>
    <w:p>
      <w:pPr>
        <w:spacing w:after="0" w:line="181"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The Company at any time may deliver Notes to the Trustee for cancellation. The Registrar, the Transfer Agent and the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such canceled Notes in its customary manner unless the Company directs the Trustee to deliver canceled Notes to the Company. The Company may not issue new Notes to replace Notes that it has redeemed or paid or that have been delivered to the Trustee for cancellation.</w:t>
      </w:r>
    </w:p>
    <w:p>
      <w:pPr>
        <w:spacing w:after="0" w:line="181"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Defaulted Interest</w:t>
      </w:r>
      <w:r>
        <w:rPr>
          <w:rFonts w:ascii="Times New Roman" w:cs="Times New Roman" w:eastAsia="Times New Roman" w:hAnsi="Times New Roman"/>
          <w:sz w:val="22"/>
          <w:szCs w:val="22"/>
          <w:color w:val="auto"/>
        </w:rPr>
        <w:t xml:space="preserve">. If the Company defaults in a payment of interest on the Notes, it shall pay the defaulted interest in any lawful manner plus, to the extent lawful, interest payable on the defaulted interest, in accordance with the terms hereof, to the Persons who are Holders on a subsequent special record date, in each case at the rate provided in the Notes and in Section 4.01. The Company shall notify the Trustee in writing of the amount of defaulted interest proposed to be paid on each Note and the date of the proposed payment. The Company shall fix or cause to be fixed each such special record date and payment date in a manner satisfactory to the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special record date may be less than 10 days prior to the related payment date for such defaulted interest. At least 10 days before the special record date, the Company shall mail or cause to be mailed to Holders a notice that states the special record date, the related payment date and the amount of such interest to be paid.</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2.13.</w:t>
      </w:r>
      <w:r>
        <w:rPr>
          <w:sz w:val="20"/>
          <w:szCs w:val="20"/>
          <w:color w:val="auto"/>
        </w:rPr>
        <w:tab/>
      </w:r>
      <w:r>
        <w:rPr>
          <w:rFonts w:ascii="Times New Roman" w:cs="Times New Roman" w:eastAsia="Times New Roman" w:hAnsi="Times New Roman"/>
          <w:sz w:val="21"/>
          <w:szCs w:val="21"/>
          <w:u w:val="single" w:color="auto"/>
          <w:color w:val="auto"/>
        </w:rPr>
        <w:t>Additional Amounts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78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the Company, a Successor Company or a Guarantor (a “</w:t>
      </w:r>
      <w:r>
        <w:rPr>
          <w:rFonts w:ascii="Times New Roman" w:cs="Times New Roman" w:eastAsia="Times New Roman" w:hAnsi="Times New Roman"/>
          <w:sz w:val="22"/>
          <w:szCs w:val="22"/>
          <w:u w:val="single" w:color="auto"/>
          <w:color w:val="auto"/>
        </w:rPr>
        <w:t>Payor</w:t>
      </w:r>
      <w:r>
        <w:rPr>
          <w:rFonts w:ascii="Times New Roman" w:cs="Times New Roman" w:eastAsia="Times New Roman" w:hAnsi="Times New Roman"/>
          <w:sz w:val="22"/>
          <w:szCs w:val="22"/>
          <w:color w:val="auto"/>
        </w:rPr>
        <w:t>”) on the Notes or the Note Guarantees will be made free and clear of and without withholding or deduction for, or on account of, any Taxes unless the withholding or deduction of such Taxes is then required by law. If any deduction or withholding for, or on account of, any Taxes imposed or levied by or on behalf of:</w:t>
      </w:r>
    </w:p>
    <w:p>
      <w:pPr>
        <w:sectPr>
          <w:pgSz w:w="11900" w:h="16838" w:orient="portrait"/>
          <w:cols w:equalWidth="0" w:num="1">
            <w:col w:w="11240"/>
          </w:cols>
          <w:pgMar w:left="320" w:top="1422" w:right="339" w:bottom="1440" w:gutter="0" w:footer="0" w:header="0"/>
        </w:sectPr>
      </w:pPr>
    </w:p>
    <w:bookmarkStart w:id="77" w:name="page78"/>
    <w:bookmarkEnd w:id="77"/>
    <w:p>
      <w:pPr>
        <w:jc w:val="both"/>
        <w:ind w:left="1300" w:firstLine="652"/>
        <w:spacing w:after="0" w:line="257" w:lineRule="auto"/>
        <w:tabs>
          <w:tab w:leader="none" w:pos="245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United States of America, (ii) any State of the United States or the District of Columbia, (iii) the Grand Duchy of Luxembourg, (iv) the United Kingdom or (v) with respect to each of the jurisdictions in (i)-(iv), any political subdivision or Governmental Authority thereof or therein having power to tax;</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jurisdiction from or through which payment on any such Note or Note Guarantee is made by the Company, Successor Company, Guarantor or their agents, or any political subdivision or Governmental Authority thereof or therein having the power to tax; or</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9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jurisdiction in which the Payor is incorporated or organized, engaged in business for tax purposes or otherwise considered to be a resident for tax purposes, or any political subdivision or Governmental Authority thereof or therein having the power to tax (each of clauses (1), (2) and (3), a “</w:t>
      </w:r>
      <w:r>
        <w:rPr>
          <w:rFonts w:ascii="Times New Roman" w:cs="Times New Roman" w:eastAsia="Times New Roman" w:hAnsi="Times New Roman"/>
          <w:sz w:val="22"/>
          <w:szCs w:val="22"/>
          <w:u w:val="single" w:color="auto"/>
          <w:color w:val="auto"/>
        </w:rPr>
        <w:t>Relevant Taxing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Jurisdiction</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will at any time be required from any payments made with respect to any Note or Note Guarantee, including payments of principal, redemption price, premium, if any, or interest, the Payor shall pay (together with such payments) such additional amounts (the “</w:t>
      </w:r>
      <w:r>
        <w:rPr>
          <w:rFonts w:ascii="Times New Roman" w:cs="Times New Roman" w:eastAsia="Times New Roman" w:hAnsi="Times New Roman"/>
          <w:sz w:val="22"/>
          <w:szCs w:val="22"/>
          <w:u w:val="single" w:color="auto"/>
          <w:color w:val="auto"/>
        </w:rPr>
        <w:t>Additional Amounts</w:t>
      </w:r>
      <w:r>
        <w:rPr>
          <w:rFonts w:ascii="Times New Roman" w:cs="Times New Roman" w:eastAsia="Times New Roman" w:hAnsi="Times New Roman"/>
          <w:sz w:val="22"/>
          <w:szCs w:val="22"/>
          <w:color w:val="auto"/>
        </w:rPr>
        <w:t xml:space="preserve">”) as may be necessary in order that the net amounts received in respect of such payments after such withholding or deduction (including any such deduction or withholding from such Additional Amounts), will not be less than the amounts which would have been received in respect of such payments on any such Note or Note Guarantee in the absence of such withholding or deduction;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Additional Amounts will be payable for or on account of:</w:t>
      </w:r>
    </w:p>
    <w:p>
      <w:pPr>
        <w:spacing w:after="0" w:line="127" w:lineRule="exact"/>
        <w:rPr>
          <w:sz w:val="20"/>
          <w:szCs w:val="20"/>
          <w:color w:val="auto"/>
        </w:rPr>
      </w:pPr>
    </w:p>
    <w:p>
      <w:pPr>
        <w:jc w:val="both"/>
        <w:ind w:left="1300" w:firstLine="652"/>
        <w:spacing w:after="0" w:line="250" w:lineRule="auto"/>
        <w:tabs>
          <w:tab w:leader="none" w:pos="255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would not have been so imposed but for the existence of any present or former connection between the relevant Holder (or between a fiduciary, settlor, beneficiary, member or shareholder of, or possessor of power over the relevant Holder, if the relevant Holder is an estate, nominee, trust, partnership, limited liability company or corporation) and the Relevant Taxing Jurisdiction (including, but not limited to, being a citizen or resident or national or domiciliary of, or the existence of a business, a permanent establishment, a dependent agent, a place of business or a place of management present or deemed present in the Relevant Taxing Jurisdiction) but excluding, in each case, any connection arising solely from the acquisition, ownership or holding of such Note or enforcement of rights hereunder or under a Note Guarantee or the receipt of any payment in respect thereof;</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8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imposed or withheld on behalf of a Holder who would have been able to avoid such withholding or deduction by complying with applicable certification, documentation, identification, information or other reporting requirement concerning the nationality, residence, identity or connection with the Relevant Taxing Jurisdiction if such compliance is required by statute or regulation of the Relevant Taxing Jurisdiction as a precondition to relief or exemption from such withholding or deduction;</w:t>
      </w:r>
    </w:p>
    <w:p>
      <w:pPr>
        <w:sectPr>
          <w:pgSz w:w="11900" w:h="16838" w:orient="portrait"/>
          <w:cols w:equalWidth="0" w:num="1">
            <w:col w:w="11240"/>
          </w:cols>
          <w:pgMar w:left="320" w:top="1422" w:right="339" w:bottom="1440" w:gutter="0" w:footer="0" w:header="0"/>
        </w:sectPr>
      </w:pPr>
    </w:p>
    <w:bookmarkStart w:id="78" w:name="page79"/>
    <w:bookmarkEnd w:id="78"/>
    <w:p>
      <w:pPr>
        <w:ind w:left="180" w:firstLine="652"/>
        <w:spacing w:after="0" w:line="271" w:lineRule="auto"/>
        <w:tabs>
          <w:tab w:leader="none" w:pos="133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payable otherwise than by deduction or withholding from a payment with respect to the Notes or any Note Guarantee;</w:t>
      </w:r>
    </w:p>
    <w:p>
      <w:pPr>
        <w:spacing w:after="0" w:line="15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estate, inheritance, gift, sales, excise, transfer, personal property or similar Taxes;</w:t>
      </w:r>
    </w:p>
    <w:p>
      <w:pPr>
        <w:spacing w:after="0" w:line="233"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33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in connection with a Note presented for payment (where presentation is required for payment) by or on behalf of a Holder or beneficial owner who would have been able to avoid such Tax by presenting the relevant Note to, or otherwise accepting payment from, another Paying Agent in the United Kingdom or any member state of the European Union;</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35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on or with respect to a payment to a Holder that is a fiduciary or partnership or any Person other than the sole beneficial owner of such payment or Note, to the extent that a beneficiary or settlor with respect to such fiduciary, a member of such partnership or the beneficial owner of such payment or Note would not have been entitled to the Additional Amounts had such beneficiary, settlor, member or beneficial owner been the actual Holder of such Note;</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68" w:lineRule="auto"/>
        <w:tabs>
          <w:tab w:leader="none" w:pos="1301"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Taxes imposed pursuant to or in connection with Sections 1471 through 1474 of the Code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with respect to the foregoing;</w:t>
      </w:r>
    </w:p>
    <w:p>
      <w:pPr>
        <w:spacing w:after="0" w:line="163" w:lineRule="exact"/>
        <w:rPr>
          <w:rFonts w:ascii="Times New Roman" w:cs="Times New Roman" w:eastAsia="Times New Roman" w:hAnsi="Times New Roman"/>
          <w:sz w:val="21"/>
          <w:szCs w:val="21"/>
          <w:color w:val="auto"/>
        </w:rPr>
      </w:pPr>
    </w:p>
    <w:p>
      <w:pPr>
        <w:jc w:val="both"/>
        <w:ind w:left="180" w:firstLine="652"/>
        <w:spacing w:after="0" w:line="263" w:lineRule="auto"/>
        <w:tabs>
          <w:tab w:leader="none" w:pos="1316"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required to be withheld by any Paying Agent from any payment of principal of, or interest on, any Note if such payment can be made without such withholding by any other Paying Agent outside the United States;</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38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by reason of such Holder’s past or present status, for U.S. federal income tax purposes, as a passive foreign investment company (including a qualified electing fund), a controlled foreign corporation, a personal holding company, a private foundation or other tax exempt organization or as a corporation which accumulates earnings to avoid U. S. federal income tax;</w:t>
      </w:r>
    </w:p>
    <w:p>
      <w:pPr>
        <w:spacing w:after="0" w:line="192"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52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imposed on interest received by a Holder or beneficial owner of a Note that is a 10 percent shareholder (as defined in Section 871(h)(3)(B) of the Code and the regulations that may be promulgated thereunder) of the Company, being a bank whose receipt of interest on a Note is described in Section 881(c)(3)(A) of the Code and regulations that may be promulgated thereunder or being a controlled foreign corporation that is related to the</w:t>
      </w:r>
    </w:p>
    <w:p>
      <w:pPr>
        <w:sectPr>
          <w:pgSz w:w="11900" w:h="16838" w:orient="portrait"/>
          <w:cols w:equalWidth="0" w:num="1">
            <w:col w:w="10120"/>
          </w:cols>
          <w:pgMar w:left="1440" w:top="1422" w:right="339" w:bottom="1440" w:gutter="0" w:footer="0" w:header="0"/>
        </w:sectPr>
      </w:pPr>
    </w:p>
    <w:bookmarkStart w:id="79" w:name="page80"/>
    <w:bookmarkEnd w:id="79"/>
    <w:p>
      <w:pPr>
        <w:ind w:left="180" w:right="20"/>
        <w:spacing w:after="0" w:line="271" w:lineRule="auto"/>
        <w:rPr>
          <w:sz w:val="20"/>
          <w:szCs w:val="20"/>
          <w:color w:val="auto"/>
        </w:rPr>
      </w:pPr>
      <w:r>
        <w:rPr>
          <w:rFonts w:ascii="Times New Roman" w:cs="Times New Roman" w:eastAsia="Times New Roman" w:hAnsi="Times New Roman"/>
          <w:sz w:val="22"/>
          <w:szCs w:val="22"/>
          <w:color w:val="auto"/>
        </w:rPr>
        <w:t>Company as described in Section 881(c)(3)(C) of the Code and regulations that may be promulgated thereunder; or</w:t>
      </w:r>
    </w:p>
    <w:p>
      <w:pPr>
        <w:spacing w:after="0" w:line="158" w:lineRule="exact"/>
        <w:rPr>
          <w:sz w:val="20"/>
          <w:szCs w:val="20"/>
          <w:color w:val="auto"/>
        </w:rPr>
      </w:pPr>
    </w:p>
    <w:p>
      <w:pPr>
        <w:ind w:left="1400" w:hanging="568"/>
        <w:spacing w:after="0"/>
        <w:tabs>
          <w:tab w:leader="none" w:pos="140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above.</w:t>
      </w:r>
    </w:p>
    <w:p>
      <w:pPr>
        <w:spacing w:after="0" w:line="233" w:lineRule="exact"/>
        <w:rPr>
          <w:rFonts w:ascii="Times New Roman" w:cs="Times New Roman" w:eastAsia="Times New Roman" w:hAnsi="Times New Roman"/>
          <w:sz w:val="22"/>
          <w:szCs w:val="22"/>
          <w:color w:val="auto"/>
        </w:rPr>
      </w:pPr>
    </w:p>
    <w:p>
      <w:pPr>
        <w:ind w:left="-1120" w:right="40" w:firstLine="1304"/>
        <w:spacing w:after="0" w:line="247" w:lineRule="auto"/>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Additional Amounts will also not be payable with respect to any deduction or withholding for, or on account of, any Taxes (x) to the extent a payment could have been made without such deduction or withholding if the beneficiary of the payment had presented the Note for payment (where presentation is required for payment) within 30 days after the relevant payment was first made available for payment to the Holder, except for Additional Amounts with respect to any deduction or withholding for, or on account of, Taxes imposed or levied by or on behalf of a Relevant Taxing Jurisdiction that would have been imposed had the Holder presented the Note for payment within such 30 day period or (y) where, had the beneficial owner of the Note been the Holder, except for Additional Amounts with respect to any deduction or withholding for, or on account of, Taxes imposed or levied by or on behalf of a Relevant Taxing Jurisdiction that would have been imposed had the Holder presented the Note for payment within such 30-day period, such beneficial owner would not have been entitled to payment of Additional Amounts by reason of any of clauses (1) to (11) inclusive above, but only if there is no material cost or legal restriction associated with transferring the Note to such beneficial owner.</w:t>
      </w:r>
    </w:p>
    <w:p>
      <w:pPr>
        <w:spacing w:after="0" w:line="200" w:lineRule="exact"/>
        <w:rPr>
          <w:rFonts w:ascii="Times New Roman" w:cs="Times New Roman" w:eastAsia="Times New Roman" w:hAnsi="Times New Roman"/>
          <w:sz w:val="22"/>
          <w:szCs w:val="22"/>
          <w:color w:val="auto"/>
        </w:rPr>
      </w:pPr>
    </w:p>
    <w:p>
      <w:pPr>
        <w:jc w:val="both"/>
        <w:ind w:left="-1120" w:firstLine="1304"/>
        <w:spacing w:after="0" w:line="248" w:lineRule="auto"/>
        <w:tabs>
          <w:tab w:leader="none" w:pos="69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Payor shall (i) make any required withholding or deduction and (ii) remit the full amount deducted or withheld to the Relevant Taxing Jurisdiction in accordance with applicable law. The Payor shall use all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shall provide such certified copies to the Trustee. Such copies shall be made available to the Holders upon request and shall be made available during normal business hours at the offices of the Paying Agent. The Payor shall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Notes.</w:t>
      </w:r>
    </w:p>
    <w:p>
      <w:pPr>
        <w:spacing w:after="0" w:line="185"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6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Payor becomes aware that it shall be obligated to pay Additional Amounts under or with respect to any payment made on any Note or Note Guarantee, at least 30 days prior to the date of such payment, the Payor shall deliver to the Trustee and the Paying Agent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or the Payor becomes aware of such obligation, less than 45 days prior to the relevant payment date, in which case the Payor may deliver such Officer’s Certificate as promptly as practicable after the date that is 30 days prior to the payment date but in any event no less than 2 (two) Business Days prior to the payment date). The Trustee and the Paying Agent</w:t>
      </w:r>
    </w:p>
    <w:p>
      <w:pPr>
        <w:sectPr>
          <w:pgSz w:w="11900" w:h="16838" w:orient="portrait"/>
          <w:cols w:equalWidth="0" w:num="1">
            <w:col w:w="10120"/>
          </w:cols>
          <w:pgMar w:left="1440" w:top="1422" w:right="339" w:bottom="1440" w:gutter="0" w:footer="0" w:header="0"/>
        </w:sectPr>
      </w:pPr>
    </w:p>
    <w:bookmarkStart w:id="80" w:name="page81"/>
    <w:bookmarkEnd w:id="80"/>
    <w:p>
      <w:pPr>
        <w:ind w:right="20"/>
        <w:spacing w:after="0" w:line="271" w:lineRule="auto"/>
        <w:rPr>
          <w:sz w:val="20"/>
          <w:szCs w:val="20"/>
          <w:color w:val="auto"/>
        </w:rPr>
      </w:pPr>
      <w:r>
        <w:rPr>
          <w:rFonts w:ascii="Times New Roman" w:cs="Times New Roman" w:eastAsia="Times New Roman" w:hAnsi="Times New Roman"/>
          <w:sz w:val="22"/>
          <w:szCs w:val="22"/>
          <w:color w:val="auto"/>
        </w:rPr>
        <w:t>shall be entitled to rely solely on such Officer’s Certificate without further inquiry, as conclusive proof that such payments are necessary.</w:t>
      </w:r>
    </w:p>
    <w:p>
      <w:pPr>
        <w:spacing w:after="0" w:line="158" w:lineRule="exact"/>
        <w:rPr>
          <w:sz w:val="20"/>
          <w:szCs w:val="20"/>
          <w:color w:val="auto"/>
        </w:rPr>
      </w:pPr>
    </w:p>
    <w:p>
      <w:pPr>
        <w:ind w:left="1760" w:hanging="456"/>
        <w:spacing w:after="0"/>
        <w:tabs>
          <w:tab w:leader="none" w:pos="17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Indenture or the Note Guarantees there are mentioned, in any context:</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principal;</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or redemption prices in connection with a purchase or redemption of Notes;</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amount payable on or with respect to any of the Notes,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such reference shall be deemed to include payment of Additional Amounts pursuant to this Section 2.13 to the extent that, in such context, Additional Amounts are, were or would be payable in respect thereof.</w:t>
      </w:r>
    </w:p>
    <w:p>
      <w:pPr>
        <w:spacing w:after="0" w:line="104" w:lineRule="exact"/>
        <w:rPr>
          <w:sz w:val="20"/>
          <w:szCs w:val="20"/>
          <w:color w:val="auto"/>
        </w:rPr>
      </w:pPr>
    </w:p>
    <w:p>
      <w:pPr>
        <w:jc w:val="both"/>
        <w:ind w:firstLine="1304"/>
        <w:spacing w:after="0" w:line="253" w:lineRule="auto"/>
        <w:tabs>
          <w:tab w:leader="none" w:pos="172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Payor shall pay any present or future stamp, court or documentary Taxes, or any other excise, property or similar Taxes that arise in any jurisdiction from the execution, delivery, registration or enforcement of any Notes, this Indenture, the Intercreditor Agreement, the other Security Documents or any other document or instrument in relation thereto (other than a transfer or exchange of the Notes) excluding any such Taxes, charges or similar levies imposed by any jurisdiction that is not a Relevant Taxing Jurisdiction.</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foregoing obligations of this Section 2.13 will survive any termination, defeasance or discharge of this Indenture and will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xml:space="preserve"> to any jurisdiction in which any successor to the Company or any Guarantor is organized or any political subdivision or taxing authority or agency thereof or therein.</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2.14.</w:t>
      </w:r>
      <w:r>
        <w:rPr>
          <w:sz w:val="20"/>
          <w:szCs w:val="20"/>
          <w:color w:val="auto"/>
        </w:rPr>
        <w:tab/>
      </w:r>
      <w:r>
        <w:rPr>
          <w:rFonts w:ascii="Times New Roman" w:cs="Times New Roman" w:eastAsia="Times New Roman" w:hAnsi="Times New Roman"/>
          <w:sz w:val="21"/>
          <w:szCs w:val="21"/>
          <w:u w:val="single" w:color="auto"/>
          <w:color w:val="auto"/>
        </w:rPr>
        <w:t>Currency Indemnity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9" w:lineRule="auto"/>
        <w:tabs>
          <w:tab w:leader="none" w:pos="1835"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dollars are the sole currency of account and payment for all sums payable by the Company and any Guarantor under or in connection with the Notes or any Note Guarantee relating to the Notes, as applicable, including damages. Any amount received or recovered in a currency other than U.S. dollars, whether as a result of, or the enforcement of, a judgment or order of a court of any jurisdiction, in the winding-up or dissolution of the Company or any Guarantor or otherwise by any Holder or by the Trustee, in respect of any sum expressed to be due to it from the Company or any Guarantor will only constitute a discharge to the Company or such Guarantor to the extent of the U.S. dollar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81" w:lineRule="exact"/>
        <w:rPr>
          <w:rFonts w:ascii="Times New Roman" w:cs="Times New Roman" w:eastAsia="Times New Roman" w:hAnsi="Times New Roman"/>
          <w:sz w:val="22"/>
          <w:szCs w:val="22"/>
          <w:color w:val="auto"/>
        </w:rPr>
      </w:pPr>
    </w:p>
    <w:p>
      <w:pPr>
        <w:ind w:right="20" w:firstLine="1304"/>
        <w:spacing w:after="0" w:line="271" w:lineRule="auto"/>
        <w:tabs>
          <w:tab w:leader="none" w:pos="185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that U.S. dollar amount is less than the U.S. dollar amount expressed to be due to the recipient or the Trustee under any Note, the Company and the Guarantors shall</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49" w:lineRule="auto"/>
        <w:rPr>
          <w:sz w:val="20"/>
          <w:szCs w:val="20"/>
          <w:color w:val="auto"/>
        </w:rPr>
      </w:pPr>
      <w:r>
        <w:rPr>
          <w:rFonts w:ascii="Times New Roman" w:cs="Times New Roman" w:eastAsia="Times New Roman" w:hAnsi="Times New Roman"/>
          <w:sz w:val="22"/>
          <w:szCs w:val="22"/>
          <w:color w:val="auto"/>
        </w:rPr>
        <w:t>indemnify them against any loss sustained by such recipient or the Trustee as a result. In any event, the Company and the Guarantors shall indemnify the recipient or the Trustee against the cost of making any such purchase. For the purposes of this currency indemnity provision, it will be prima facie evidence of the matter stated therein for the Holder or the Trustee to certify in a manner satisfactory to the Company (indicating the sources of information used) the loss it incurred in making any such purchase. These indemnities constitute a separate and independent obligation from the Company’s and the Guarantors’ other obligations, will give rise to a separate and independent cause of action, will apply irrespective of any waiver granted by any Holder or the Trustee (other than a waiver of the indemnities set out herein) and will continue in full force and effect despite any other judgment, order, claim or proof for a liquidated amount in respect of any sum due under any Note or to the Trustee.</w:t>
      </w:r>
    </w:p>
    <w:p>
      <w:pPr>
        <w:spacing w:after="0" w:line="195"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Deposit of Moneys</w:t>
      </w:r>
      <w:r>
        <w:rPr>
          <w:rFonts w:ascii="Times New Roman" w:cs="Times New Roman" w:eastAsia="Times New Roman" w:hAnsi="Times New Roman"/>
          <w:sz w:val="22"/>
          <w:szCs w:val="22"/>
          <w:color w:val="auto"/>
        </w:rPr>
        <w:t>. No later than 10:00 a.m. New York time on each due date of the principal of, interest and premium (if any) on any Note and the Stated Maturity date of the Notes, the Company shall deposit with the Principal Paying Agent in same day immediately available cleared funds money sufficient to make cash payments, if any, due on such day or date, as the case may be, in a timely manner which permits the Trustee or relevant Paying Agent to remit payment to the Holders on such day or date, as the case may be. Subject to actual receipt of such amounts in same day immediately available cleared funds as provided by this Section 2.15 by the designated Paying Agent, such Paying Agent shall make payments on the Notes in accordance with the provisions of this Indenture. The Company shall promptly notify the Trustee and the Paying Agents of its failure to so act.</w:t>
      </w:r>
    </w:p>
    <w:p>
      <w:pPr>
        <w:spacing w:after="0" w:line="182"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22"/>
          <w:szCs w:val="22"/>
          <w:color w:val="auto"/>
        </w:rPr>
        <w:t>The rights of holders of beneficial interests in the Notes to receive the payments on such Notes are subject to applicable procedures of the applicable Depositary and of its direct and indirect participants, including Euroclear and Clearstream.</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the due date for any payment in respect of any Note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Redemption and Prepayment</w:t>
      </w:r>
    </w:p>
    <w:p>
      <w:pPr>
        <w:spacing w:after="0" w:line="20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Notices to Trustee</w:t>
      </w:r>
      <w:r>
        <w:rPr>
          <w:rFonts w:ascii="Times New Roman" w:cs="Times New Roman" w:eastAsia="Times New Roman" w:hAnsi="Times New Roman"/>
          <w:sz w:val="22"/>
          <w:szCs w:val="22"/>
          <w:color w:val="auto"/>
        </w:rPr>
        <w:t>. If the Company elects to redeem Notes pursuant to the optional redemption provisions of Section 3.07 and paragraph 5 of the relevant Notes, it must furnish to the Trustee, at least 5 Business Days prior to the date on which the Company is to give notice of redemption to the Holders (or such shorter period as may be agreed by the Trustee in writing), an Officer’s Certificate setting forth:</w:t>
      </w:r>
    </w:p>
    <w:p>
      <w:pPr>
        <w:spacing w:after="0" w:line="179" w:lineRule="exact"/>
        <w:rPr>
          <w:sz w:val="20"/>
          <w:szCs w:val="20"/>
          <w:color w:val="auto"/>
        </w:rPr>
      </w:pPr>
    </w:p>
    <w:p>
      <w:pPr>
        <w:ind w:left="1760" w:hanging="456"/>
        <w:spacing w:after="0"/>
        <w:tabs>
          <w:tab w:leader="none" w:pos="17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clause of this Indenture pursuant to which the redemption shall occur;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redemption and the redemption date;</w:t>
      </w:r>
    </w:p>
    <w:p>
      <w:pPr>
        <w:sectPr>
          <w:pgSz w:w="11900" w:h="16838" w:orient="portrait"/>
          <w:cols w:equalWidth="0" w:num="1">
            <w:col w:w="11240"/>
          </w:cols>
          <w:pgMar w:left="320" w:top="1422" w:right="339" w:bottom="1440" w:gutter="0" w:footer="0" w:header="0"/>
        </w:sectPr>
      </w:pPr>
    </w:p>
    <w:bookmarkStart w:id="82" w:name="page83"/>
    <w:bookmarkEnd w:id="82"/>
    <w:p>
      <w:pPr>
        <w:ind w:left="1760" w:hanging="456"/>
        <w:spacing w:after="0"/>
        <w:tabs>
          <w:tab w:leader="none" w:pos="17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including make-whole premium, if any, of Notes to be redeemed; and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Selection of Notes to be Redeemed or Purchased</w:t>
      </w:r>
      <w:r>
        <w:rPr>
          <w:rFonts w:ascii="Times New Roman" w:cs="Times New Roman" w:eastAsia="Times New Roman" w:hAnsi="Times New Roman"/>
          <w:sz w:val="22"/>
          <w:szCs w:val="22"/>
          <w:color w:val="auto"/>
        </w:rPr>
        <w:t>. If less than all of any series of Notes are to be redeemed or purchased in an offer to purchase at any time, the Trustee or the Registrar (as applicable) will select Notes for redemption or purchase as follows:</w:t>
      </w:r>
    </w:p>
    <w:p>
      <w:pPr>
        <w:spacing w:after="0" w:line="167" w:lineRule="exact"/>
        <w:rPr>
          <w:sz w:val="20"/>
          <w:szCs w:val="20"/>
          <w:color w:val="auto"/>
        </w:rPr>
      </w:pPr>
    </w:p>
    <w:p>
      <w:pPr>
        <w:jc w:val="both"/>
        <w:ind w:firstLine="1304"/>
        <w:spacing w:after="0" w:line="275" w:lineRule="auto"/>
        <w:tabs>
          <w:tab w:leader="none" w:pos="175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applicable Notes are listed on any national securities exchange (including the Exchange), in compliance with the requirements of the principal securities exchange, if any, on which they are listed, as certified to the Trustee by the Company, and on a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pass-through distribution of principal basis in compliance with the requirements of DTC; or</w:t>
      </w:r>
    </w:p>
    <w:p>
      <w:pPr>
        <w:spacing w:after="0" w:line="168" w:lineRule="exact"/>
        <w:rPr>
          <w:rFonts w:ascii="Times New Roman" w:cs="Times New Roman" w:eastAsia="Times New Roman" w:hAnsi="Times New Roman"/>
          <w:sz w:val="21"/>
          <w:szCs w:val="21"/>
          <w:color w:val="auto"/>
        </w:rPr>
      </w:pPr>
    </w:p>
    <w:p>
      <w:pPr>
        <w:jc w:val="both"/>
        <w:ind w:firstLine="1304"/>
        <w:spacing w:after="0" w:line="252" w:lineRule="auto"/>
        <w:tabs>
          <w:tab w:leader="none" w:pos="177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Notes are not so listed on any national securities exchange or the relevant national securities exchange does not have any applicable requirements and the Notes are not held through DTC, Euroclear or Clearstream, as applicable, or DTC, Euroclear and/or Clearstream, as applicable, prescribes no method of selection, on a pro rata basis;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Note of $200,000 or less in aggregate principal amount shall be redeemed in part.</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In the event of partial redemption or purchase, the particular Notes to be redeemed or purchased will be selected, unless otherwise provided herein, not less than 10 nor more than 60 days prior to the redemption or purchase date by the Trustee from the outstanding Notes not previously called for redemption or purchase, and in the case of any Global Notes, in accordance with the requirements of DTC.</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If the Notes are not Global Notes, the Trustee shall promptly notify the Company, the Paying Agent and the Registrar (if not the Company) in writing of the Notes selected for redemption or purchase and, in the case of any Notes selected for partial redemption or purchase, the principal amount thereof to be redeemed or purchased. Notes and portions of Notes selected will be in minimum amounts of $200,000 and integral multiples of $1,000 in excess thereof, except that if all the Notes of a Holder are to be redeemed or purchased, the entire outstanding amount of Notes held by such Holder, even if not a multiple of $1,000 (in excess of $200,000), shall be redeemed or purchased. Except as provided in the preceding sentence, provisions of this Indenture that apply to Notes called for redemption or purchase also apply to portions of Notes called for redemption or purchase.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Neither the Trustee nor the Registrar shall be liable for selections made by it under this Section.</w:t>
      </w:r>
    </w:p>
    <w:p>
      <w:pPr>
        <w:spacing w:after="0" w:line="22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Notice of Redemption</w:t>
      </w:r>
      <w:r>
        <w:rPr>
          <w:rFonts w:ascii="Times New Roman" w:cs="Times New Roman" w:eastAsia="Times New Roman" w:hAnsi="Times New Roman"/>
          <w:sz w:val="22"/>
          <w:szCs w:val="22"/>
          <w:color w:val="auto"/>
        </w:rPr>
        <w:t>. Not less than 10 days but not more than 60 days before a redemption date, the Company shall mail or cause to be mailed, by first class mail, postage prepaid, a notice of redemption to each Holder whose Notes are to be</w:t>
      </w:r>
    </w:p>
    <w:p>
      <w:pPr>
        <w:sectPr>
          <w:pgSz w:w="11900" w:h="16838" w:orient="portrait"/>
          <w:cols w:equalWidth="0" w:num="1">
            <w:col w:w="11240"/>
          </w:cols>
          <w:pgMar w:left="320" w:top="1422" w:right="339" w:bottom="1440" w:gutter="0" w:footer="0" w:header="0"/>
        </w:sectPr>
      </w:pPr>
    </w:p>
    <w:bookmarkStart w:id="83" w:name="page84"/>
    <w:bookmarkEnd w:id="83"/>
    <w:p>
      <w:pPr>
        <w:jc w:val="both"/>
        <w:spacing w:after="0" w:line="251" w:lineRule="auto"/>
        <w:rPr>
          <w:sz w:val="20"/>
          <w:szCs w:val="20"/>
          <w:color w:val="auto"/>
        </w:rPr>
      </w:pPr>
      <w:r>
        <w:rPr>
          <w:rFonts w:ascii="Times New Roman" w:cs="Times New Roman" w:eastAsia="Times New Roman" w:hAnsi="Times New Roman"/>
          <w:sz w:val="22"/>
          <w:szCs w:val="22"/>
          <w:color w:val="auto"/>
        </w:rPr>
        <w:t>redeemed at their respective addresses as they appear on the registration books of the Registrar, with a copy to the Trustee and the Paying Agent, except that redemption notices may be mailed more than 15 calendar days prior to a redemption date if the notice is issued in connection with a defeasance of the Notes pursuant to Article VIII or a satisfaction and discharge of this Indenture pursuant to Article X. So long as any series of the Notes is listed on the official list of the Exchange and admitted to trading on the Euro MTF Market and if required by the rules and regulations of the Exchange, the Company shall provide any notice of redemption to the Exchange and publish it on the website of the Exchange (</w:t>
      </w:r>
      <w:r>
        <w:rPr>
          <w:rFonts w:ascii="Times New Roman" w:cs="Times New Roman" w:eastAsia="Times New Roman" w:hAnsi="Times New Roman"/>
          <w:sz w:val="22"/>
          <w:szCs w:val="22"/>
          <w:i w:val="1"/>
          <w:iCs w:val="1"/>
          <w:color w:val="auto"/>
        </w:rPr>
        <w:t>www.luxse.com</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notice shall identify the Notes to be redeemed and shall state:</w:t>
      </w:r>
    </w:p>
    <w:p>
      <w:pPr>
        <w:spacing w:after="0" w:line="220" w:lineRule="exact"/>
        <w:rPr>
          <w:sz w:val="20"/>
          <w:szCs w:val="20"/>
          <w:color w:val="auto"/>
        </w:rPr>
      </w:pPr>
    </w:p>
    <w:p>
      <w:pPr>
        <w:ind w:left="1760" w:hanging="456"/>
        <w:spacing w:after="0"/>
        <w:tabs>
          <w:tab w:leader="none" w:pos="17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record date for the redemption and the redemption date;</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w:t>
      </w:r>
    </w:p>
    <w:p>
      <w:pPr>
        <w:spacing w:after="0" w:line="219"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series of Notes is being redeemed in part, the portion of the principal amount thereof to be redeemed (including the beginning and ending pool factor for Notes represented by a Global Note) and that, after the redemption date upon surrender (if applicable) of such Note, a new Note or Notes in principal amount equal to the unredeemed portion will be issued upon cancellation of the original Note;</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Paying Agent;</w:t>
      </w:r>
    </w:p>
    <w:p>
      <w:pPr>
        <w:spacing w:after="0" w:line="233"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Definitive Notes called for redemption must be surrendered to the Paying Agent to collect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redemption price;</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6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Company defaults in making such redemption payment or the relevant Paying Agent is prohibited from making such payment pursuant to the terms of this Indenture, interest on Notes called for redemption ceases to accrue on and after the redemption date, unless the redemption price is not paid on the redemption date;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969"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paragraph of the Notes and/or Section of this Indenture pursuant to which the Notes called for redemption are being redeemed; and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9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 representation is made as to the correctness or accuracy of the CUSIP, ISIN or Common Code number, if any, listed in such notice or printed on the Notes.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At the Company’s direction, the Trustee shall give the notice of redemption in the Company’s name and at its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has delivered to the Trustee, at least 5 Business Days prior to the date on which the Company is to give notice of redemption to the Holders (unless a shorter period shall be acceptable to the Trustee in its sole discretion), an Officer’s Certificate directing the Trustee to give such notice and setting forth the information to be stated in such notice as provided in the preceding paragraph.</w:t>
      </w:r>
    </w:p>
    <w:p>
      <w:pPr>
        <w:spacing w:after="0" w:line="17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Effect of Notice of Redemption</w:t>
      </w:r>
      <w:r>
        <w:rPr>
          <w:rFonts w:ascii="Times New Roman" w:cs="Times New Roman" w:eastAsia="Times New Roman" w:hAnsi="Times New Roman"/>
          <w:sz w:val="22"/>
          <w:szCs w:val="22"/>
          <w:color w:val="auto"/>
        </w:rPr>
        <w:t>. Once notice of redemption is mailed in accordance with Section 3.03, subject to Section 3.07(f), Notes called for redemption become irrevocably due and payable on the redemption date at the redemption price. Failure to</w:t>
      </w:r>
    </w:p>
    <w:p>
      <w:pPr>
        <w:sectPr>
          <w:pgSz w:w="11900" w:h="16838" w:orient="portrait"/>
          <w:cols w:equalWidth="0" w:num="1">
            <w:col w:w="11240"/>
          </w:cols>
          <w:pgMar w:left="320" w:top="142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color w:val="auto"/>
        </w:rPr>
        <w:t>give notice or any defect in the notice to any Holder shall not affect the validity of the notice to any other Holder.</w:t>
      </w:r>
    </w:p>
    <w:p>
      <w:pPr>
        <w:spacing w:after="0" w:line="22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Deposit of Redemption or Purchase Price</w:t>
      </w:r>
      <w:r>
        <w:rPr>
          <w:rFonts w:ascii="Times New Roman" w:cs="Times New Roman" w:eastAsia="Times New Roman" w:hAnsi="Times New Roman"/>
          <w:sz w:val="22"/>
          <w:szCs w:val="22"/>
          <w:color w:val="auto"/>
        </w:rPr>
        <w:t>. No later than 10:00 a.m. New York time on the redemption date or purchase price date, the Company shall deposit with the Principal Paying Agent, in same day immediately available cleared funds, money sufficient to pay the redemption or purchase price of and accrued and unpaid interest, if any, and Additional Amounts, if any, on all Notes to be redeemed or purchased on that date other than Notes or portions of Notes called for redemption that have been delivered by the Company to the Trustee for cancellation. The Principal Paying Agent shall promptly return to the Company any money deposited with the Principal Paying Agent by the Company in excess of the amounts necessary to pay the redemption or purchase price of, and accrued and unpaid interest, if any, and Additional Amounts, if any, on, all Notes to be redeemed or purchased. Neither the Trustee nor any Paying Agent shall be required to pay out any money without first having been placed in funds.</w:t>
      </w:r>
    </w:p>
    <w:p>
      <w:pPr>
        <w:spacing w:after="0" w:line="180"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If the Company complies with the provisions of the preceding paragraph, on and after the redemption or purchase date, interest will cease to accrue on the Notes or the portions of Notes called for redemption or purchase unless the relevant Paying Agent is prohibited from making such redemption payment pursuant to the terms of this Indenture.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w:t>
      </w:r>
    </w:p>
    <w:p>
      <w:pPr>
        <w:spacing w:after="0" w:line="19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Notes Redeemed or Purchased in Part</w:t>
      </w:r>
      <w:r>
        <w:rPr>
          <w:rFonts w:ascii="Times New Roman" w:cs="Times New Roman" w:eastAsia="Times New Roman" w:hAnsi="Times New Roman"/>
          <w:sz w:val="22"/>
          <w:szCs w:val="22"/>
          <w:color w:val="auto"/>
        </w:rPr>
        <w:t>. Upon surrender of a Note that is redeemed or purchased in part, the Company shall issue and, upon receipt of an Authentication Order, the Trustee (or the Authentication Agent) shall authenticate for the Holder at the expense of the Company a new Note equal in principal amount to the unredeemed or unpurchased portion of the Note surrendered. In the case of a Global Note, an appropriate notation will be made on such Note to decrease the principal amount thereof to an amount equal to the unredeemed portion thereof.</w:t>
      </w:r>
    </w:p>
    <w:p>
      <w:pPr>
        <w:spacing w:after="0" w:line="194"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3.07.</w:t>
      </w:r>
      <w:r>
        <w:rPr>
          <w:sz w:val="20"/>
          <w:szCs w:val="20"/>
          <w:color w:val="auto"/>
        </w:rPr>
        <w:tab/>
      </w:r>
      <w:r>
        <w:rPr>
          <w:rFonts w:ascii="Times New Roman" w:cs="Times New Roman" w:eastAsia="Times New Roman" w:hAnsi="Times New Roman"/>
          <w:sz w:val="21"/>
          <w:szCs w:val="21"/>
          <w:u w:val="single" w:color="auto"/>
          <w:color w:val="auto"/>
        </w:rPr>
        <w:t>Optional Redemption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5" w:lineRule="auto"/>
        <w:tabs>
          <w:tab w:leader="none" w:pos="175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and from time to time on or after June 1, 2028, the Company may redeem the Notes, in whole or in part, at its option, upon not less than 10 nor more than 60 days’ prior notice to the Holders, at a redemption price equal to the applicable percentage of principal amount set forth below plus accrued and unpaid interest and Additional Amounts, if any, to the applicable redemption date (subject to the right of Holders of record on the relevant record date to receive interest due on the relevant interest payment date), if redeemed during the twelve-month period beginning on June 1 of the years indicated below:</w:t>
      </w:r>
    </w:p>
    <w:p>
      <w:pPr>
        <w:sectPr>
          <w:pgSz w:w="11900" w:h="16838" w:orient="portrait"/>
          <w:cols w:equalWidth="0" w:num="1">
            <w:col w:w="11240"/>
          </w:cols>
          <w:pgMar w:left="320" w:top="1422" w:right="339" w:bottom="1440" w:gutter="0" w:footer="0" w:header="0"/>
        </w:sectPr>
      </w:pPr>
    </w:p>
    <w:bookmarkStart w:id="85" w:name="page86"/>
    <w:bookmarkEnd w:id="8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Year</w:t>
            </w:r>
          </w:p>
        </w:tc>
        <w:tc>
          <w:tcPr>
            <w:tcW w:w="314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Redemption Price</w:t>
            </w:r>
          </w:p>
        </w:tc>
      </w:tr>
      <w:tr>
        <w:trPr>
          <w:trHeight w:val="218"/>
        </w:trPr>
        <w:tc>
          <w:tcPr>
            <w:tcW w:w="77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r>
      <w:tr>
        <w:trPr>
          <w:trHeight w:val="289"/>
        </w:trPr>
        <w:tc>
          <w:tcPr>
            <w:tcW w:w="7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2028</w:t>
            </w:r>
          </w:p>
        </w:tc>
        <w:tc>
          <w:tcPr>
            <w:tcW w:w="340" w:type="dxa"/>
            <w:vAlign w:val="bottom"/>
          </w:tcPr>
          <w:p>
            <w:pPr>
              <w:spacing w:after="0"/>
              <w:rPr>
                <w:sz w:val="24"/>
                <w:szCs w:val="24"/>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103.313%</w:t>
            </w:r>
          </w:p>
        </w:tc>
      </w:tr>
      <w:tr>
        <w:trPr>
          <w:trHeight w:val="527"/>
        </w:trPr>
        <w:tc>
          <w:tcPr>
            <w:tcW w:w="77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2029</w:t>
            </w:r>
          </w:p>
        </w:tc>
        <w:tc>
          <w:tcPr>
            <w:tcW w:w="340" w:type="dxa"/>
            <w:vAlign w:val="bottom"/>
          </w:tcPr>
          <w:p>
            <w:pPr>
              <w:spacing w:after="0"/>
              <w:rPr>
                <w:sz w:val="24"/>
                <w:szCs w:val="24"/>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101.656%</w:t>
            </w:r>
          </w:p>
        </w:tc>
      </w:tr>
      <w:tr>
        <w:trPr>
          <w:trHeight w:val="526"/>
        </w:trPr>
        <w:tc>
          <w:tcPr>
            <w:tcW w:w="81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2030 and thereafter</w:t>
            </w:r>
          </w:p>
        </w:tc>
        <w:tc>
          <w:tcPr>
            <w:tcW w:w="3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100.000%</w:t>
            </w:r>
          </w:p>
        </w:tc>
      </w:tr>
    </w:tbl>
    <w:p>
      <w:pPr>
        <w:spacing w:after="0" w:line="200" w:lineRule="exact"/>
        <w:rPr>
          <w:sz w:val="20"/>
          <w:szCs w:val="20"/>
          <w:color w:val="auto"/>
        </w:rPr>
      </w:pPr>
    </w:p>
    <w:p>
      <w:pPr>
        <w:spacing w:after="0" w:line="328" w:lineRule="exact"/>
        <w:rPr>
          <w:sz w:val="20"/>
          <w:szCs w:val="20"/>
          <w:color w:val="auto"/>
        </w:rPr>
      </w:pPr>
    </w:p>
    <w:p>
      <w:pPr>
        <w:jc w:val="both"/>
        <w:ind w:firstLine="1304"/>
        <w:spacing w:after="0" w:line="265" w:lineRule="auto"/>
        <w:tabs>
          <w:tab w:leader="none" w:pos="178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and from time to time prior to June 1, 2028 the Company may redeem Notes with the Net Cash Proceeds received by the Company from any Equity Offering occurring after the Issue Date, upon not less than 10 nor more than 60 days’ prior notice to the Holders at a redemption price equal to 106.625% plus accrued and unpaid interest and Additional Amounts, if any, to the applicable redemption date (subject to the right of Holders of record on the relevant record date to receive interest due on the relevant interest payment date), in an aggregate principal amount for all such redemptions not to exceed 40% of the original aggregate principal amount of the Notes (including the principal amount of any Additional Notes);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1300" w:firstLine="652"/>
        <w:spacing w:after="0" w:line="271" w:lineRule="auto"/>
        <w:tabs>
          <w:tab w:leader="none" w:pos="243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the redemption takes place not later than 120 days after the closing of the related Equity Offering, and</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98"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60% of the original aggregate principal amount of the Notes (including the principal amount of any Additional Notes) remains outstanding immediately thereafter.</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5"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prior to June 1, 2028, the Company may redeem the Notes in whole or in part, at its option, upon not less than 10 nor more than 60 days’ prior notice to the Holders at a redemption price equal to 100% of the principal amount of such Notes plus the relevant Applicable Premium as of, and accrued and unpaid interest and Additional Amounts, if any, to, the applicable redemption date (subject to the right of Holders of record on the relevant record date to receive interest due on the relevant interest payment date).</w:t>
      </w:r>
    </w:p>
    <w:p>
      <w:pPr>
        <w:spacing w:after="0" w:line="180"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tender offer for, or other offer to purchase (including any Change of Control Offer or Asset Disposition Offer), any series of or all of the Notes, if Holders of not less than 90% in aggregate principal amount of the applicable series of outstanding Notes validly tender and do not withdraw such Notes in such tender offer and the Company, or any third party making such a tender offer in lieu of the Company, purchases all of the applicable series of Notes validly tendered and not withdrawn by such Holders, the Company or such third party will have the right upon not less than 10 nor more than 60 days’ prior notice to the Holders of such Notes, such notice given not more than 30 days following such purchase date, to redeem all (but not part) of the applicable Notes of such series that remain outstanding following such purchase at a price equal to the price offered to each of the Holders of the applicable series of Notes in such tender offer (excluding any early tender or incentive fee), plus, to the extent not included in the tender offer payment, accrued and unpaid interest and Additional Amounts, if any, thereon, to, but not including, the redemption date (subject to the right of</w:t>
      </w:r>
    </w:p>
    <w:p>
      <w:pPr>
        <w:sectPr>
          <w:pgSz w:w="11900" w:h="16838" w:orient="portrait"/>
          <w:cols w:equalWidth="0" w:num="1">
            <w:col w:w="11240"/>
          </w:cols>
          <w:pgMar w:left="320" w:top="144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Holders of record on the relevant record date to receive interest due on the relevant interest payment date).</w:t>
      </w:r>
    </w:p>
    <w:p>
      <w:pPr>
        <w:spacing w:after="0" w:line="220" w:lineRule="exact"/>
        <w:rPr>
          <w:sz w:val="20"/>
          <w:szCs w:val="20"/>
          <w:color w:val="auto"/>
        </w:rPr>
      </w:pPr>
    </w:p>
    <w:p>
      <w:pPr>
        <w:jc w:val="both"/>
        <w:ind w:firstLine="1304"/>
        <w:spacing w:after="0" w:line="256" w:lineRule="auto"/>
        <w:tabs>
          <w:tab w:leader="none" w:pos="188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of redemption will be provided as set forth in Section 3.03. If the Company effects an optional redemption of Notes, it will, for so long as the Notes are listed on the Exchange and admitted to trading on the Euro MTF Market, inform the Exchange of such optional redemption and confirm the aggregate principal amount of the Notes of that series that will remain outstanding immediately after such redemption.</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4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redemption and notice of redemption may, at the Company’s discretion, be subject to the satisfaction of one or more conditions precedent.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optional redemption date is on or after an interest record date and on or before the related interest payment date, the accrued and unpaid interest will be paid to the Person in whose name the Note is registered at the close of business on such record date, and no additional interest will be payable to Holders whose Notes will be subject to redemption by the Company.</w:t>
      </w:r>
    </w:p>
    <w:p>
      <w:pPr>
        <w:spacing w:after="0" w:line="176"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Mandatory Redemption</w:t>
      </w:r>
      <w:r>
        <w:rPr>
          <w:rFonts w:ascii="Times New Roman" w:cs="Times New Roman" w:eastAsia="Times New Roman" w:hAnsi="Times New Roman"/>
          <w:sz w:val="22"/>
          <w:szCs w:val="22"/>
          <w:color w:val="auto"/>
        </w:rPr>
        <w:t>. The Company is not required to make mandatory redemption payments or sinking fund payments with respect to the Notes.</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Asset Disposition Offer</w:t>
      </w:r>
      <w:r>
        <w:rPr>
          <w:rFonts w:ascii="Times New Roman" w:cs="Times New Roman" w:eastAsia="Times New Roman" w:hAnsi="Times New Roman"/>
          <w:sz w:val="22"/>
          <w:szCs w:val="22"/>
          <w:color w:val="auto"/>
        </w:rPr>
        <w:t>. In the event that, pursuant to Section 4.10, the Company is required to commence an Asset Disposition Offer, it shall follow the procedures specified below.</w:t>
      </w:r>
    </w:p>
    <w:p>
      <w:pPr>
        <w:spacing w:after="0" w:line="144"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Upon the commencement of an Asset Disposition Offer, the Company shall send or cause to be sent, by first class mail, to the Trustee and each of the Holders at the address appearing in the security register, a notice stating:</w:t>
      </w:r>
    </w:p>
    <w:p>
      <w:pPr>
        <w:spacing w:after="0" w:line="158" w:lineRule="exact"/>
        <w:rPr>
          <w:sz w:val="20"/>
          <w:szCs w:val="20"/>
          <w:color w:val="auto"/>
        </w:rPr>
      </w:pPr>
    </w:p>
    <w:p>
      <w:pPr>
        <w:ind w:firstLine="1304"/>
        <w:spacing w:after="0" w:line="271" w:lineRule="auto"/>
        <w:tabs>
          <w:tab w:leader="none" w:pos="178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Asset Disposition Offer is being made pursuant to this Section 3.09 and Section 4.10 and the length of time the Asset Disposition Offer will remain open;</w:t>
      </w:r>
    </w:p>
    <w:p>
      <w:pPr>
        <w:spacing w:after="0" w:line="17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 Disposition Offer Amount, the purchase price and the Asset Disposition Purchase Date;</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any Note not tendered or accepted for payment will continue to accrue interest;</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1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unless the Company defaults in making such payment, any Note accepted for payment pursuant to the Asset Disposition Offer will cease to accrue interest after the Asset Disposition Purchase Date;</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electing to have a Note purchased pursuant to an Asset Disposition Offer may elect to have Notes purchased only in minimum denominations of $200,000 and in integral multiples of $1,000 in excess thereof, except that a Holder may elect to have all the Notes held by such Holder purchased even if not an integral multiple of $1,000 (in excess of $200,000);</w:t>
      </w:r>
    </w:p>
    <w:p>
      <w:pPr>
        <w:sectPr>
          <w:pgSz w:w="11900" w:h="16838" w:orient="portrait"/>
          <w:cols w:equalWidth="0" w:num="1">
            <w:col w:w="11240"/>
          </w:cols>
          <w:pgMar w:left="320" w:top="1422" w:right="339" w:bottom="1440" w:gutter="0" w:footer="0" w:header="0"/>
        </w:sectPr>
      </w:pPr>
    </w:p>
    <w:bookmarkStart w:id="87" w:name="page88"/>
    <w:bookmarkEnd w:id="87"/>
    <w:p>
      <w:pPr>
        <w:jc w:val="both"/>
        <w:ind w:firstLine="1304"/>
        <w:spacing w:after="0" w:line="256" w:lineRule="auto"/>
        <w:tabs>
          <w:tab w:leader="none" w:pos="179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electing to have a Note purchased pursuant to any Asset Disposition Offer will be required to surrender the Note, with the form entitled “Option of Holder to Elect Purchase” attached to the Note completed, or transfer by book-entry transfer, to the Company, a Depositary, if appointed by the Company, or a Paying Agent at the address specified in the notice at least three days before the Asset Disposition Purchase Date;</w:t>
      </w:r>
    </w:p>
    <w:p>
      <w:pPr>
        <w:spacing w:after="0" w:line="17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procedure for withdrawing an election to tender;</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3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whose Notes were purchased only in part will be issued new Notes equal in principal amount to the unpurchased portion of the Notes surrendered (or transferred by book-entry transfer); and</w:t>
      </w:r>
    </w:p>
    <w:p>
      <w:pPr>
        <w:spacing w:after="0" w:line="157" w:lineRule="exact"/>
        <w:rPr>
          <w:rFonts w:ascii="Times New Roman" w:cs="Times New Roman" w:eastAsia="Times New Roman" w:hAnsi="Times New Roman"/>
          <w:sz w:val="22"/>
          <w:szCs w:val="22"/>
          <w:color w:val="auto"/>
        </w:rPr>
      </w:pPr>
    </w:p>
    <w:p>
      <w:pPr>
        <w:jc w:val="both"/>
        <w:ind w:firstLine="1304"/>
        <w:spacing w:after="0" w:line="260" w:lineRule="auto"/>
        <w:tabs>
          <w:tab w:leader="none" w:pos="191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Asset Disposition Purchase Date, the Company or another Restricted Subsidiary, as applicable, shall, to the extent lawful, accept for payment, on a pro rata basis to the extent necessary, the Asset Disposition Offer Amount of Notes and Pari Passu Indebtedness or portions of Notes and Pari Passu Indebtedness so validly tendered and not properly withdrawn pursuant to the Asset Disposition Offer, or if less than the Asset Disposition Offer Amount has been validly tendered and not properly withdrawn, all Notes and Pari Passu Indebtedness so validly tendered and not properly withdrawn and in minimum denominations of $200,000 and in integral multiples of $1,000 in excess thereof. The Company shall deliver to the Trustee an Officer’s Certificate stating that such Notes or portions thereof were accepted for payment by the Company in accordance with the terms of this Section 3.09. The Company or an agent designated by the Company, as the case may be, shall promptly (but in any case not later than five Business Days after termination of the Asset Disposition Offer Period) mail or deliver to each tendering Holder an amount equal to the purchase price of the Notes so validly tendered and not properly withdrawn by such Holder, and accepted by the Company for purchase, and the Company shall promptly issue a new Note (or amend the Global Note), and the Trustee, upon delivery of an Officer’s Certificate from the Company, shall (via the Authentication Agent) authenticate and mail or deliver (or cause to be transferred by book entry) such new Note to such Holder, in a principal amount equal to any unpurchased portion of the Note surrendered; provided that each such new Note will be in a principal amount with a minimum denomination $200,000 or in integral multiples of $1,000 in excess thereof. Any Note not so accepted will be promptly mailed or delivered (or transferred by book entry) by the Company to the Holder thereof.</w:t>
      </w:r>
    </w:p>
    <w:p>
      <w:pPr>
        <w:spacing w:after="0" w:line="175"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Other than as specifically provided in this Section 3.09, any purchase pursuant to this Section 3.09 shall be made pursuant to the provisions of Sections 3.01 through 3.06.</w:t>
      </w:r>
    </w:p>
    <w:p>
      <w:pPr>
        <w:spacing w:after="0" w:line="158" w:lineRule="exact"/>
        <w:rPr>
          <w:sz w:val="20"/>
          <w:szCs w:val="20"/>
          <w:color w:val="auto"/>
        </w:rPr>
      </w:pPr>
    </w:p>
    <w:p>
      <w:pPr>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Redemption for Taxation Reasons</w:t>
      </w:r>
      <w:r>
        <w:rPr>
          <w:rFonts w:ascii="Times New Roman" w:cs="Times New Roman" w:eastAsia="Times New Roman" w:hAnsi="Times New Roman"/>
          <w:sz w:val="22"/>
          <w:szCs w:val="22"/>
          <w:color w:val="auto"/>
        </w:rPr>
        <w:t>. The Company or a Successor Company may redeem any series of Notes in whole, but not in part, at any time upon</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53" w:lineRule="auto"/>
        <w:rPr>
          <w:sz w:val="20"/>
          <w:szCs w:val="20"/>
          <w:color w:val="auto"/>
        </w:rPr>
      </w:pPr>
      <w:r>
        <w:rPr>
          <w:rFonts w:ascii="Times New Roman" w:cs="Times New Roman" w:eastAsia="Times New Roman" w:hAnsi="Times New Roman"/>
          <w:sz w:val="22"/>
          <w:szCs w:val="22"/>
          <w:color w:val="auto"/>
        </w:rPr>
        <w:t>giving not less than 10 nor more than 60 days’ notice to the Holders (which notice will be irrevocable) at a redemption price equal to 100% of the outstanding principal amount thereof, together with accrued and unpaid interest, if any, to, but excluding, the date fixed for redemption (a “</w:t>
      </w:r>
      <w:r>
        <w:rPr>
          <w:rFonts w:ascii="Times New Roman" w:cs="Times New Roman" w:eastAsia="Times New Roman" w:hAnsi="Times New Roman"/>
          <w:sz w:val="22"/>
          <w:szCs w:val="22"/>
          <w:u w:val="single" w:color="auto"/>
          <w:color w:val="auto"/>
        </w:rPr>
        <w:t>Tax Redemption Date</w:t>
      </w:r>
      <w:r>
        <w:rPr>
          <w:rFonts w:ascii="Times New Roman" w:cs="Times New Roman" w:eastAsia="Times New Roman" w:hAnsi="Times New Roman"/>
          <w:sz w:val="22"/>
          <w:szCs w:val="22"/>
          <w:color w:val="auto"/>
        </w:rPr>
        <w:t>”) (subject to the right of Holders of record on the relevant record date to receive interest due on the relevant interest payment date) and all Additional Amounts, if any, then due and which will become due on the Tax Redemption Date as a result of the redemption or otherwise, if any, if as a result of:</w:t>
      </w:r>
    </w:p>
    <w:p>
      <w:pPr>
        <w:spacing w:after="0" w:line="179" w:lineRule="exact"/>
        <w:rPr>
          <w:sz w:val="20"/>
          <w:szCs w:val="20"/>
          <w:color w:val="auto"/>
        </w:rPr>
      </w:pPr>
    </w:p>
    <w:p>
      <w:pPr>
        <w:ind w:firstLine="1304"/>
        <w:spacing w:after="0" w:line="271" w:lineRule="auto"/>
        <w:tabs>
          <w:tab w:leader="none" w:pos="191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law (or any regulations or rulings promulgated thereunder) of a Relevant Taxing Jurisdiction affecting taxation; or</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202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official position regarding the application, administration or interpretation of such laws, regulations or rulings (including pursuant to a holding, judgment or order by a court of competent jurisdiction) of a Relevant Taxing Jurisdiction (each of the foregoing in clauses (1) and (2), a “</w:t>
      </w:r>
      <w:r>
        <w:rPr>
          <w:rFonts w:ascii="Times New Roman" w:cs="Times New Roman" w:eastAsia="Times New Roman" w:hAnsi="Times New Roman"/>
          <w:sz w:val="22"/>
          <w:szCs w:val="22"/>
          <w:u w:val="single" w:color="auto"/>
          <w:color w:val="auto"/>
        </w:rPr>
        <w:t>Change in Tax Law</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the Company, Successor Company or any Guarantor are, or on the next interest payment date in respect of such series of Notes would be, required to pay any Additional Amounts, and such obligation cannot be avoided by taking reasonable measures available to the Company, Successor Company or such Guarantor (including, for the avoidance of doubt, the appointment of a new Paying Agent where this would be reasonable and, in the case of a payment by a Guarantor, having the Company or another Guarantor make the payment, but not including assignment of the obligation to make payment with respect to such series of Notes). In the case of redemption due to withholding as a result of a Change in Tax Law in a jurisdiction that is a Relevant Taxing Jurisdiction at the date of the Offering Memorandum, such Change in Tax Law must become effective on or after the date of the Offering Memorandum. In the case of redemption due to withholding as a result of a Change in Tax Law in a jurisdiction that becomes a Relevant Taxing Jurisdiction after the date of the Offering Memorandum, such Change in Tax Law must become effective on or after the date the jurisdiction becomes a Relevant Taxing Jurisdiction. Notice of redemption for taxation reasons shall be published in accordance with Section 3.03. Notwithstanding the foregoing, no such notice of redemption shall be given</w:t>
      </w:r>
    </w:p>
    <w:p>
      <w:pPr>
        <w:spacing w:after="0" w:line="6" w:lineRule="exact"/>
        <w:rPr>
          <w:sz w:val="20"/>
          <w:szCs w:val="20"/>
          <w:color w:val="auto"/>
        </w:rPr>
      </w:pPr>
    </w:p>
    <w:p>
      <w:pPr>
        <w:jc w:val="both"/>
        <w:ind w:firstLine="8"/>
        <w:spacing w:after="0" w:line="246" w:lineRule="auto"/>
        <w:tabs>
          <w:tab w:leader="none" w:pos="3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earlier than 90 days prior to the earliest date on which the Payor would be obliged to make such payment of Additional Amounts and (b) unless at the time such notice is given, such obligation to pay such Additional Amounts remains in effect. Prior to the publication or mailing of any notice of redemption of any series of Notes pursuant to the foregoing, the Company or Successor Company shall deliver to the Trustee (a) an Officer’s Certificate stating that it is entitled to effect such redemption and setting forth a statement of facts showing that the conditions precedent to its right so to redeem have been satisfied and that the Company, Successor Company or such Guarantor, as applicable, would not be able to avoid the obligation to pay Additional Amounts by taking reasonable measures available to it (including, for the avoidance of doubt, the appointment of a new Paying Agent where this would be reasonable and, in the case of a payment by a Guarantor, having the Company or another Guarantor make the payment, but not including assignment of the obligation to make payment with respect to such series of Notes) and (b) an opinion of an independent tax counsel of recognized standing to the effect that the Company, Successor Company or Guarantor has or have been or shall become obligated to pay</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57" w:lineRule="auto"/>
        <w:rPr>
          <w:sz w:val="20"/>
          <w:szCs w:val="20"/>
          <w:color w:val="auto"/>
        </w:rPr>
      </w:pPr>
      <w:r>
        <w:rPr>
          <w:rFonts w:ascii="Times New Roman" w:cs="Times New Roman" w:eastAsia="Times New Roman" w:hAnsi="Times New Roman"/>
          <w:sz w:val="22"/>
          <w:szCs w:val="22"/>
          <w:color w:val="auto"/>
        </w:rPr>
        <w:t>Additional Amounts as a result of a Change in Tax Law. The Trustee shall accept such Officer’s Certificate and opinion as sufficient evidence of the satisfaction of the conditions precedent described above, without further inquiry, in which event it will be conclusive and binding on the Holders.</w:t>
      </w:r>
    </w:p>
    <w:p>
      <w:pPr>
        <w:spacing w:after="0" w:line="1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196"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Payment of Notes</w:t>
      </w:r>
      <w:r>
        <w:rPr>
          <w:rFonts w:ascii="Times New Roman" w:cs="Times New Roman" w:eastAsia="Times New Roman" w:hAnsi="Times New Roman"/>
          <w:sz w:val="22"/>
          <w:szCs w:val="22"/>
          <w:color w:val="auto"/>
        </w:rPr>
        <w:t>. The Company shall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holds, as of 10:00 a.m. New York time on such date (or such other time as the Company and the Paying Agent may mutually agree from time to time, but always subject to actual receipt), money deposited by the Company in same day immediately available cleared funds and designated for and sufficient to pay all principal, premium and Additional Amounts, if any, and interest then due and is not prohibited from paying such money to the Holders on that date pursuant to the terms of this Indenture. The Company shall promptly notify the Trustee and the applicable Paying Agent of its failure to so deposit. Subject to actual receipt of amounts in same day immediately available cleared funds as provided by this Section 4.01 by the designated Paying Agent, such Paying Agent shall make payments on the Notes in accordance with this Indenture. In any event, the Company shall, prior to 10:00 a.m. New York time on the second Business Day prior to the date on which the Principal Paying Agent receives payment, procure that the bank effecting payment for it confirms by SWIFT message to the Principal Paying Agent that an irrevocable payment instruction has been given. A Paying Agent (or the Trustee, if applicable) shall only be obliged to make a payment under this Indenture if it has actually received the full amount due on the Notes in same day immediately available cleared funds from the Company as required under this Section 4.01. Subject to Section 2.13, the Paying Agent or the Trustee, as the case may be, shall be entitled to make payments net of Taxes or other amounts required by any applicable law to be withheld or deducted and if such a withholding or deduction is so required, the Paying Agent will not pay any additional amount in respect of such withholding or deduction.</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Company shall pay interest (including post-petition interest in any proceeding under any Bankruptcy Law) on overdue principal at the rate equal to the then applicable interest rate on the Notes. The Company shall pay interest (including post-petition interest in any proceeding under any Bankruptcy Law) on overdue installments of interest (without regard to any applicable grace periods) at the same rate.</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If a Paying Agent pays out funds on or after the due date therefor, or pays out funds (although it is not obligated to do so) on the assumption that the corresponding payment by the Company has been or shall be made and such payment has in fact not been so made by the Company, then the Company shall on demand reimburse the Paying Agent for the relevant amount, and pay interest to the Paying Agent on such amount from the date on which it is paid</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71" w:lineRule="auto"/>
        <w:rPr>
          <w:sz w:val="20"/>
          <w:szCs w:val="20"/>
          <w:color w:val="auto"/>
        </w:rPr>
      </w:pPr>
      <w:r>
        <w:rPr>
          <w:rFonts w:ascii="Times New Roman" w:cs="Times New Roman" w:eastAsia="Times New Roman" w:hAnsi="Times New Roman"/>
          <w:sz w:val="22"/>
          <w:szCs w:val="22"/>
          <w:color w:val="auto"/>
        </w:rPr>
        <w:t>out to the date of reimbursement at a rate per annum equal to the cost to the Paying Agent of funding the amount paid out, as certified by the Paying Agent and expressed as a rate per annum.</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The rights of Holders to receive the payments of principal, premium, if any, interest, and Additional Amounts, if any, on such Global Notes are subject to applicable procedures of DTC and of its direct and indirect participants, including Euroclear and Clearstream. If the due date for any payment in respect of any Note is not a Business Day, the Holder thereof will not be entitled to payment of the amount due until the next succeeding Business Day and will not be entitled to any further interest or other payment as a result of any such delay.</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Principal, premium, if any, interest and Additional Amounts, if any, on the Global Notes will be payable at the specified office or agency of one or more Paying Agents maintained for such purposes. In addition, interest on the Definitive Registered Notes may be paid by check mailed or by bank transfer to the person entitled thereto as shown on the register for the Definitive Registered Notes.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Maintenance of Office or Agency</w:t>
      </w:r>
      <w:r>
        <w:rPr>
          <w:rFonts w:ascii="Times New Roman" w:cs="Times New Roman" w:eastAsia="Times New Roman" w:hAnsi="Times New Roman"/>
          <w:sz w:val="22"/>
          <w:szCs w:val="22"/>
          <w:color w:val="auto"/>
        </w:rPr>
        <w:t>. The Company shall maintain an office or agency (which may be an office of the Trustee or an Affiliate of the Trustee or Paying Agent) for the Notes where (1) Notes may be surrendered for registration of transfer or for exchange and (2) notices and demands to or upon the Company in respect of the Notes and this Indenture may be served. The Company shall give prompt written notice to the Trustee of the location, and any change in the location, of such office or agency.</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designation or rescission will in any manner relieve the Company of its obligation to maintain an office or agency for such purposes. The Company shall give prompt written notice to the Trustee of any such designation or rescission and of any change in the location of any such other office or agency.</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4.03.</w:t>
      </w:r>
      <w:r>
        <w:rPr>
          <w:sz w:val="20"/>
          <w:szCs w:val="20"/>
          <w:color w:val="auto"/>
        </w:rPr>
        <w:tab/>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any Notes are outstanding, the Company shall provide to the Trustee the following reports:</w:t>
      </w:r>
    </w:p>
    <w:p>
      <w:pPr>
        <w:spacing w:after="0" w:line="219" w:lineRule="exact"/>
        <w:rPr>
          <w:rFonts w:ascii="Times New Roman" w:cs="Times New Roman" w:eastAsia="Times New Roman" w:hAnsi="Times New Roman"/>
          <w:sz w:val="22"/>
          <w:szCs w:val="22"/>
          <w:color w:val="auto"/>
        </w:rPr>
      </w:pPr>
    </w:p>
    <w:p>
      <w:pPr>
        <w:ind w:left="1300" w:firstLine="652"/>
        <w:spacing w:after="0" w:line="284" w:lineRule="auto"/>
        <w:tabs>
          <w:tab w:leader="none" w:pos="243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the Company’s fiscal year beginning with the first fiscal year ending after the Issue Date, annual reports containing, to the extent applicable the following information:</w:t>
      </w:r>
    </w:p>
    <w:p>
      <w:pPr>
        <w:spacing w:after="0" w:line="143"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61"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consolidated balance sheets of the Company or its predecessor as of the end of the two most recent fiscal years and audited consolidated income statements and statements of cash flow of the Company or its predecessor for the two most recent fiscal years, including</w:t>
      </w:r>
    </w:p>
    <w:p>
      <w:pPr>
        <w:sectPr>
          <w:pgSz w:w="11900" w:h="16838" w:orient="portrait"/>
          <w:cols w:equalWidth="0" w:num="1">
            <w:col w:w="11240"/>
          </w:cols>
          <w:pgMar w:left="320" w:top="1422" w:right="339" w:bottom="1440" w:gutter="0" w:footer="0" w:header="0"/>
        </w:sectPr>
      </w:pPr>
    </w:p>
    <w:bookmarkStart w:id="91" w:name="page92"/>
    <w:bookmarkEnd w:id="91"/>
    <w:p>
      <w:pPr>
        <w:ind w:left="800"/>
        <w:spacing w:after="0" w:line="271" w:lineRule="auto"/>
        <w:rPr>
          <w:sz w:val="20"/>
          <w:szCs w:val="20"/>
          <w:color w:val="auto"/>
        </w:rPr>
      </w:pPr>
      <w:r>
        <w:rPr>
          <w:rFonts w:ascii="Times New Roman" w:cs="Times New Roman" w:eastAsia="Times New Roman" w:hAnsi="Times New Roman"/>
          <w:sz w:val="22"/>
          <w:szCs w:val="22"/>
          <w:color w:val="auto"/>
        </w:rPr>
        <w:t>complete footnotes to such financial statements and the report of the independent auditors on the financial statements;</w:t>
      </w:r>
    </w:p>
    <w:p>
      <w:pPr>
        <w:spacing w:after="0" w:line="158" w:lineRule="exact"/>
        <w:rPr>
          <w:sz w:val="20"/>
          <w:szCs w:val="20"/>
          <w:color w:val="auto"/>
        </w:rPr>
      </w:pPr>
    </w:p>
    <w:p>
      <w:pPr>
        <w:jc w:val="both"/>
        <w:ind w:left="800" w:firstLine="642"/>
        <w:spacing w:after="0" w:line="252" w:lineRule="auto"/>
        <w:tabs>
          <w:tab w:leader="none" w:pos="209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unaudited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income statement information and balance sheet information of the Company (which, for the avoidance of doubt, shall not include the provision of a full income statement or balance sheet to the extent not reasonably available), together with explanatory footnotes, for any material acquisitions, dispositions or recapitalizations that have occurred since the beginning of the most recently completed fiscal year as to which such annual report relates (and provided that such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information will be required only to the extent available without unreasonable expense, in which case the Company will provide, in the case of a material acquisition, acquired company financial statements);</w:t>
      </w:r>
    </w:p>
    <w:p>
      <w:pPr>
        <w:spacing w:after="0" w:line="179" w:lineRule="exact"/>
        <w:rPr>
          <w:rFonts w:ascii="Times New Roman" w:cs="Times New Roman" w:eastAsia="Times New Roman" w:hAnsi="Times New Roman"/>
          <w:sz w:val="22"/>
          <w:szCs w:val="22"/>
          <w:color w:val="auto"/>
        </w:rPr>
      </w:pPr>
    </w:p>
    <w:p>
      <w:pPr>
        <w:jc w:val="both"/>
        <w:ind w:left="800" w:firstLine="642"/>
        <w:spacing w:after="0" w:line="257" w:lineRule="auto"/>
        <w:tabs>
          <w:tab w:leader="none" w:pos="195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operating and financial review of the audited financial statements, including a discussion of the results of operations, financial condition, EBITDA, ERC and liquidity and capital resources of the Company, and a discussion of material commitments and contingencies and critical accounting policies;</w:t>
      </w:r>
    </w:p>
    <w:p>
      <w:pPr>
        <w:spacing w:after="0" w:line="172" w:lineRule="exact"/>
        <w:rPr>
          <w:rFonts w:ascii="Times New Roman" w:cs="Times New Roman" w:eastAsia="Times New Roman" w:hAnsi="Times New Roman"/>
          <w:sz w:val="22"/>
          <w:szCs w:val="22"/>
          <w:color w:val="auto"/>
        </w:rPr>
      </w:pPr>
    </w:p>
    <w:p>
      <w:pPr>
        <w:jc w:val="both"/>
        <w:ind w:left="800" w:firstLine="642"/>
        <w:spacing w:after="0" w:line="263" w:lineRule="auto"/>
        <w:tabs>
          <w:tab w:leader="none" w:pos="208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the business, management and shareholders of the Company, all material affiliate transactions and a description of all material contractual arrangements, including material debt instruments; and</w:t>
      </w:r>
    </w:p>
    <w:p>
      <w:pPr>
        <w:spacing w:after="0" w:line="167" w:lineRule="exact"/>
        <w:rPr>
          <w:rFonts w:ascii="Times New Roman" w:cs="Times New Roman" w:eastAsia="Times New Roman" w:hAnsi="Times New Roman"/>
          <w:sz w:val="22"/>
          <w:szCs w:val="22"/>
          <w:color w:val="auto"/>
        </w:rPr>
      </w:pPr>
    </w:p>
    <w:p>
      <w:pPr>
        <w:ind w:left="1940" w:hanging="498"/>
        <w:spacing w:after="0"/>
        <w:tabs>
          <w:tab w:leader="none" w:pos="194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material risk factors and material recent developments;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6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following the end of each of the first three fiscal quarters in each fiscal year of the Company beginning with the quarter ending March 31, 2026, all quarterly reports of the Company containing the following information:</w:t>
      </w:r>
    </w:p>
    <w:p>
      <w:pPr>
        <w:spacing w:after="0" w:line="186" w:lineRule="exact"/>
        <w:rPr>
          <w:rFonts w:ascii="Times New Roman" w:cs="Times New Roman" w:eastAsia="Times New Roman" w:hAnsi="Times New Roman"/>
          <w:sz w:val="22"/>
          <w:szCs w:val="22"/>
          <w:color w:val="auto"/>
        </w:rPr>
      </w:pPr>
    </w:p>
    <w:p>
      <w:pPr>
        <w:jc w:val="both"/>
        <w:ind w:left="800" w:firstLine="642"/>
        <w:spacing w:after="0" w:line="252" w:lineRule="auto"/>
        <w:tabs>
          <w:tab w:leader="none" w:pos="216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unaudited condensed consolidated balance sheet as of the end of such quarter and unaudited condensed statements of income and cash flow for the most recently completed quarter year-to-date period ending on the unaudited condensed balance sheet date, and the comparable prior year periods, together with condensed footnote disclosure;</w:t>
      </w:r>
    </w:p>
    <w:p>
      <w:pPr>
        <w:spacing w:after="0" w:line="179" w:lineRule="exact"/>
        <w:rPr>
          <w:rFonts w:ascii="Times New Roman" w:cs="Times New Roman" w:eastAsia="Times New Roman" w:hAnsi="Times New Roman"/>
          <w:sz w:val="22"/>
          <w:szCs w:val="22"/>
          <w:color w:val="auto"/>
        </w:rPr>
      </w:pPr>
    </w:p>
    <w:p>
      <w:pPr>
        <w:jc w:val="both"/>
        <w:ind w:left="800" w:firstLine="642"/>
        <w:spacing w:after="0" w:line="253" w:lineRule="auto"/>
        <w:tabs>
          <w:tab w:leader="none" w:pos="202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unaudited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income statement information and balance sheet information of the Company (which, for the avoidance of doubt, shall not include the provision of a full income statement or balance sheet to the extent not reasonably available), together with explanatory footnotes, for any material acquisitions, dispositions or recapitalizations that have occurred since the beginning of the relevant quarter as to which such quarterly report relates (and provided that such pro forma information</w:t>
      </w:r>
    </w:p>
    <w:p>
      <w:pPr>
        <w:sectPr>
          <w:pgSz w:w="11900" w:h="16838" w:orient="portrait"/>
          <w:cols w:equalWidth="0" w:num="1">
            <w:col w:w="10120"/>
          </w:cols>
          <w:pgMar w:left="1440" w:top="1422" w:right="339" w:bottom="1440" w:gutter="0" w:footer="0" w:header="0"/>
        </w:sectPr>
      </w:pPr>
    </w:p>
    <w:bookmarkStart w:id="92" w:name="page93"/>
    <w:bookmarkEnd w:id="92"/>
    <w:p>
      <w:pPr>
        <w:ind w:left="800"/>
        <w:spacing w:after="0" w:line="271" w:lineRule="auto"/>
        <w:rPr>
          <w:sz w:val="20"/>
          <w:szCs w:val="20"/>
          <w:color w:val="auto"/>
        </w:rPr>
      </w:pPr>
      <w:r>
        <w:rPr>
          <w:rFonts w:ascii="Times New Roman" w:cs="Times New Roman" w:eastAsia="Times New Roman" w:hAnsi="Times New Roman"/>
          <w:sz w:val="22"/>
          <w:szCs w:val="22"/>
          <w:color w:val="auto"/>
        </w:rPr>
        <w:t>will be required only to the extent available without unreasonable expense, in which case the Company will provide, in the case of a material acquisition, acquired company financial statements);</w:t>
      </w:r>
    </w:p>
    <w:p>
      <w:pPr>
        <w:spacing w:after="0" w:line="158" w:lineRule="exact"/>
        <w:rPr>
          <w:sz w:val="20"/>
          <w:szCs w:val="20"/>
          <w:color w:val="auto"/>
        </w:rPr>
      </w:pPr>
    </w:p>
    <w:p>
      <w:pPr>
        <w:jc w:val="both"/>
        <w:ind w:left="800" w:firstLine="642"/>
        <w:spacing w:after="0" w:line="256" w:lineRule="auto"/>
        <w:tabs>
          <w:tab w:leader="none" w:pos="1955"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operating and financial review of the unaudited financial statements, including a discussion of the results of operations, financial condition, EBITDA, ERC and material changes in liquidity and capital resources of the Company, and a discussion of material changes not in the ordinary course of business in commitments and contingencies since the most recent report; and</w:t>
      </w:r>
    </w:p>
    <w:p>
      <w:pPr>
        <w:spacing w:after="0" w:line="176" w:lineRule="exact"/>
        <w:rPr>
          <w:rFonts w:ascii="Times New Roman" w:cs="Times New Roman" w:eastAsia="Times New Roman" w:hAnsi="Times New Roman"/>
          <w:sz w:val="22"/>
          <w:szCs w:val="22"/>
          <w:color w:val="auto"/>
        </w:rPr>
      </w:pPr>
    </w:p>
    <w:p>
      <w:pPr>
        <w:ind w:left="800" w:firstLine="642"/>
        <w:spacing w:after="0" w:line="271" w:lineRule="auto"/>
        <w:tabs>
          <w:tab w:leader="none" w:pos="2062" w:val="left"/>
        </w:tabs>
        <w:numPr>
          <w:ilvl w:val="2"/>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recent developments and any material changes to the risk factors disclosed in the most recent annual report; and</w:t>
      </w:r>
    </w:p>
    <w:p>
      <w:pPr>
        <w:spacing w:after="0" w:line="171"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299"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occurrence of any material acquisition, disposition, restructuring, merger or similar transaction, or any senior executive officer changes at the Company or change in auditors of the Company or any other material event that the Company or any of its Restricted Subsidiaries announces publicly, a report containing a description of such event.</w:t>
      </w:r>
    </w:p>
    <w:p>
      <w:pPr>
        <w:spacing w:after="0" w:line="179" w:lineRule="exact"/>
        <w:rPr>
          <w:rFonts w:ascii="Times New Roman" w:cs="Times New Roman" w:eastAsia="Times New Roman" w:hAnsi="Times New Roman"/>
          <w:sz w:val="22"/>
          <w:szCs w:val="22"/>
          <w:color w:val="auto"/>
        </w:rPr>
      </w:pPr>
    </w:p>
    <w:p>
      <w:pPr>
        <w:jc w:val="both"/>
        <w:ind w:left="-1120" w:firstLine="1304"/>
        <w:spacing w:after="0" w:line="268" w:lineRule="auto"/>
        <w:tabs>
          <w:tab w:leader="none" w:pos="679"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financial statements and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financial information (other than acquired company financials) shall be prepared in accordance with GAAP as in effect on the date of such report or financial statement (or otherwise on the basis of GAAP as then in effect) and on a consistent basis for the periods presented;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reports set forth in Section 4.03(a) may in the event of a change in applicable GAAP, present earlier periods on a basis that applied to such periods. Except as provided for below, no report needs to include separate financial statements for any Subsidiaries of the Company.</w:t>
      </w:r>
    </w:p>
    <w:p>
      <w:pPr>
        <w:spacing w:after="0" w:line="163" w:lineRule="exact"/>
        <w:rPr>
          <w:rFonts w:ascii="Times New Roman" w:cs="Times New Roman" w:eastAsia="Times New Roman" w:hAnsi="Times New Roman"/>
          <w:sz w:val="21"/>
          <w:szCs w:val="21"/>
          <w:color w:val="auto"/>
        </w:rPr>
      </w:pPr>
    </w:p>
    <w:p>
      <w:pPr>
        <w:jc w:val="both"/>
        <w:ind w:left="-1120" w:firstLine="1304"/>
        <w:spacing w:after="0" w:line="262" w:lineRule="auto"/>
        <w:tabs>
          <w:tab w:leader="none" w:pos="657"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that any of the Company’s Subsidiaries are Unrestricted Subsidiaries and any such Unrestricted Subsidiary or group of Unrestricted Subsidiaries, if taken together as one Subsidiary, would constitute a Significant Subsidiary of the Company, then the annual and quarterly financial information required by Sections 4.03(a)(1) and 4.03(a)(2) shall include either (i) a reasonably detailed presentation, either on the face of the financial statements or in the footnotes thereto, of the financial condition and results of operations of the Company and its Restricted Subsidiaries separate from the financial condition and results of operations of the Unrestricted Subsidiaries of the Company or (ii) stand-alone audited or unaudited financial statements, as the case may be, of such Unrestricted Subsidiary or Unrestricted Subsidiaries (as a group or otherwise) together with an unaudited reconciliation to the financial information of the Company and its Subsidiaries, which reconciliation shall include the following items: revenue, EBITDA, ERC, purchase of receivable portfolios, collections from purchased receivables, collections applied to principal balance, net income, cash, total assets, total debt, shareholders equity and cash interest expense.</w:t>
      </w:r>
    </w:p>
    <w:p>
      <w:pPr>
        <w:spacing w:after="0" w:line="171" w:lineRule="exact"/>
        <w:rPr>
          <w:rFonts w:ascii="Times New Roman" w:cs="Times New Roman" w:eastAsia="Times New Roman" w:hAnsi="Times New Roman"/>
          <w:sz w:val="21"/>
          <w:szCs w:val="21"/>
          <w:color w:val="auto"/>
        </w:rPr>
      </w:pPr>
    </w:p>
    <w:p>
      <w:pPr>
        <w:jc w:val="both"/>
        <w:ind w:left="-1120" w:firstLine="1304"/>
        <w:spacing w:after="0" w:line="257" w:lineRule="auto"/>
        <w:tabs>
          <w:tab w:leader="none" w:pos="729"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Substantially concurrently with the issuance to the Trustee of the reports specified in Section 4.03(a), the Company shall also (A) use its commercially reasonable efforts (i) to post copies of such reports on such website as may be then maintained by the Company and</w:t>
      </w:r>
    </w:p>
    <w:p>
      <w:pPr>
        <w:sectPr>
          <w:pgSz w:w="11900" w:h="16838" w:orient="portrait"/>
          <w:cols w:equalWidth="0" w:num="1">
            <w:col w:w="10120"/>
          </w:cols>
          <w:pgMar w:left="1440" w:top="1422" w:right="339" w:bottom="1440" w:gutter="0" w:footer="0" w:header="0"/>
        </w:sectPr>
      </w:pPr>
    </w:p>
    <w:bookmarkStart w:id="93" w:name="page94"/>
    <w:bookmarkEnd w:id="93"/>
    <w:p>
      <w:pPr>
        <w:jc w:val="both"/>
        <w:spacing w:after="0" w:line="256" w:lineRule="auto"/>
        <w:rPr>
          <w:sz w:val="20"/>
          <w:szCs w:val="20"/>
          <w:color w:val="auto"/>
        </w:rPr>
      </w:pPr>
      <w:r>
        <w:rPr>
          <w:rFonts w:ascii="Times New Roman" w:cs="Times New Roman" w:eastAsia="Times New Roman" w:hAnsi="Times New Roman"/>
          <w:sz w:val="22"/>
          <w:szCs w:val="22"/>
          <w:color w:val="auto"/>
        </w:rPr>
        <w:t>its Subsidiaries; or (ii) otherwise to provide substantially comparable public availability of such reports (as determined by the Company in good faith); or (B) to the extent the Company determines in good faith that it cannot make such reports available in the manner described in the preceding clause (A) owing to applicable law or after the use of its commercially reasonable efforts, furnish such reports to the Holders and, upon their request, prospective purchasers of the Notes.</w:t>
      </w:r>
    </w:p>
    <w:p>
      <w:pPr>
        <w:spacing w:after="0" w:line="176" w:lineRule="exact"/>
        <w:rPr>
          <w:sz w:val="20"/>
          <w:szCs w:val="20"/>
          <w:color w:val="auto"/>
        </w:rPr>
      </w:pPr>
    </w:p>
    <w:p>
      <w:pPr>
        <w:ind w:left="1760" w:hanging="456"/>
        <w:spacing w:after="0"/>
        <w:tabs>
          <w:tab w:leader="none" w:pos="17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either:</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subject to the reporting requirements of Section 13(a) or 15(d) of the Exchange Act, or elects to comply with such provisions, and it continues to file the reports required by Section 13(a) of the Exchange Act with the SEC; or</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6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elects to provide to the Trustee reports which, if filed with the SEC, would satisfy (in the good faith judgment of the Company) the reporting requirements of Section 13(a) or 15(d) of the Exchange Act (other than the provision of certifications, exhibits or information as to internal controls and procedures), for so long as it elects and following written notice to the Trustee, the Company will provide to the Trustee, and make available to Holders pursuant to the preceding paragraph, such annual reports, information, documents and other reports that the Company is, or would be, required to file with the SEC pursuant to such Section 13(a) or 15(d) of the Exchange Act.</w:t>
      </w:r>
    </w:p>
    <w:p>
      <w:pPr>
        <w:spacing w:after="0" w:line="18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Upon complying with the paragraph immediately above in this “Reports” covenant, the Company will be deemed to have complied with the provisions contained in this Section 4.03.</w:t>
      </w:r>
    </w:p>
    <w:p>
      <w:pPr>
        <w:spacing w:after="0" w:line="158" w:lineRule="exact"/>
        <w:rPr>
          <w:sz w:val="20"/>
          <w:szCs w:val="20"/>
          <w:color w:val="auto"/>
        </w:rPr>
      </w:pPr>
    </w:p>
    <w:p>
      <w:pPr>
        <w:jc w:val="both"/>
        <w:ind w:firstLine="1304"/>
        <w:spacing w:after="0" w:line="263" w:lineRule="auto"/>
        <w:tabs>
          <w:tab w:leader="none" w:pos="173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extent not satisfied by the foregoing, the Company will agree that, for so long as any Notes are outstanding it shall furnish to Holders and, upon their request, prospective purchasers of the Notes, the information required to be delivered pursuant to Rule 144A(d)(4) under the Securities Act.</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u w:val="single" w:color="auto"/>
          <w:color w:val="auto"/>
        </w:rPr>
        <w:t>Compliance Certificates and Notices</w:t>
      </w:r>
      <w:r>
        <w:rPr>
          <w:rFonts w:ascii="Times New Roman" w:cs="Times New Roman" w:eastAsia="Times New Roman" w:hAnsi="Times New Roman"/>
          <w:sz w:val="22"/>
          <w:szCs w:val="22"/>
          <w:color w:val="auto"/>
        </w:rPr>
        <w:t>. The Company shall deliver to the Trustee, within 120 days after the end of each fiscal year (and within 14 days upon a request at any time by the Trustee after such 120 days), an Officer’s Certificate stating that it has complied with its obligations under the Indenture and in the course of the performance by the signer thereof of his or her duties as an Officer of the Company he or she would normally have knowledge of any Default and whether or not the signer knows of any Default that occurred during such period (and, if a Default or Event of Default has occurred, describing all such Defaults or Events of Default of which he or she may have knowledge and what action the Company is taking or proposes to take with respect thereto).</w:t>
      </w:r>
    </w:p>
    <w:p>
      <w:pPr>
        <w:spacing w:after="0" w:line="180"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4.05.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shall pay, and the Company shall cause each Restricted Subsidiary to pay, prior to delinquency, all Taxes except such as are</w:t>
      </w:r>
    </w:p>
    <w:p>
      <w:pPr>
        <w:sectPr>
          <w:pgSz w:w="11900" w:h="16838" w:orient="portrait"/>
          <w:cols w:equalWidth="0" w:num="1">
            <w:col w:w="11240"/>
          </w:cols>
          <w:pgMar w:left="320" w:top="1422" w:right="339" w:bottom="1440" w:gutter="0" w:footer="0" w:header="0"/>
        </w:sectPr>
      </w:pPr>
    </w:p>
    <w:bookmarkStart w:id="94" w:name="page95"/>
    <w:bookmarkEnd w:id="94"/>
    <w:p>
      <w:pPr>
        <w:ind w:right="20"/>
        <w:spacing w:after="0" w:line="271" w:lineRule="auto"/>
        <w:rPr>
          <w:sz w:val="20"/>
          <w:szCs w:val="20"/>
          <w:color w:val="auto"/>
        </w:rPr>
      </w:pPr>
      <w:r>
        <w:rPr>
          <w:rFonts w:ascii="Times New Roman" w:cs="Times New Roman" w:eastAsia="Times New Roman" w:hAnsi="Times New Roman"/>
          <w:sz w:val="22"/>
          <w:szCs w:val="22"/>
          <w:color w:val="auto"/>
        </w:rPr>
        <w:t>contested in good faith and by appropriate proceedings or where the failure to effect such payment is not adverse in any material respect to the Holders.</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4.06.</w:t>
      </w:r>
      <w:r>
        <w:rPr>
          <w:sz w:val="20"/>
          <w:szCs w:val="20"/>
          <w:color w:val="auto"/>
        </w:rPr>
        <w:tab/>
      </w:r>
      <w:r>
        <w:rPr>
          <w:rFonts w:ascii="Times New Roman" w:cs="Times New Roman" w:eastAsia="Times New Roman" w:hAnsi="Times New Roman"/>
          <w:sz w:val="21"/>
          <w:szCs w:val="21"/>
          <w:u w:val="single" w:color="auto"/>
          <w:color w:val="auto"/>
        </w:rPr>
        <w:t>Limitation on Company Activities; Limitation on Trust Management SPVs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760" w:hanging="456"/>
        <w:spacing w:after="0"/>
        <w:tabs>
          <w:tab w:leader="none" w:pos="17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own or lease any material assets other than:</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Capital Stock of:</w:t>
      </w:r>
    </w:p>
    <w:p>
      <w:pPr>
        <w:spacing w:after="0" w:line="219" w:lineRule="exact"/>
        <w:rPr>
          <w:rFonts w:ascii="Times New Roman" w:cs="Times New Roman" w:eastAsia="Times New Roman" w:hAnsi="Times New Roman"/>
          <w:sz w:val="22"/>
          <w:szCs w:val="22"/>
          <w:color w:val="auto"/>
        </w:rPr>
      </w:pPr>
    </w:p>
    <w:p>
      <w:pPr>
        <w:ind w:left="3160" w:hanging="598"/>
        <w:spacing w:after="0"/>
        <w:tabs>
          <w:tab w:leader="none" w:pos="316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Midland Credit Management, Encore Holdings Luxembourg and Asset Acceptance Capital</w:t>
      </w:r>
    </w:p>
    <w:p>
      <w:pPr>
        <w:spacing w:after="0" w:line="27" w:lineRule="exact"/>
        <w:rPr>
          <w:rFonts w:ascii="Times New Roman" w:cs="Times New Roman" w:eastAsia="Times New Roman" w:hAnsi="Times New Roman"/>
          <w:sz w:val="22"/>
          <w:szCs w:val="22"/>
          <w:color w:val="auto"/>
        </w:rPr>
      </w:pPr>
    </w:p>
    <w:p>
      <w:pPr>
        <w:ind w:left="1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w:t>
      </w:r>
    </w:p>
    <w:p>
      <w:pPr>
        <w:spacing w:after="0" w:line="195" w:lineRule="exact"/>
        <w:rPr>
          <w:rFonts w:ascii="Times New Roman" w:cs="Times New Roman" w:eastAsia="Times New Roman" w:hAnsi="Times New Roman"/>
          <w:sz w:val="22"/>
          <w:szCs w:val="22"/>
          <w:color w:val="auto"/>
        </w:rPr>
      </w:pPr>
    </w:p>
    <w:p>
      <w:pPr>
        <w:jc w:val="both"/>
        <w:ind w:left="1920" w:firstLine="642"/>
        <w:spacing w:after="0" w:line="272" w:lineRule="auto"/>
        <w:tabs>
          <w:tab w:leader="none" w:pos="3089" w:val="left"/>
        </w:tabs>
        <w:numPr>
          <w:ilvl w:val="2"/>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direct Subsidiary of the Company for which the Company provides a share pledge for the benefit of the holders of Notes over all of the Capital Stock of such Subsidiary held by it on substantially the same terms as the share pledges provided by Midland Credit Management, Encore Holdings Luxembourg and Asset Acceptance Capital LLC (subject to the Agreed Security Principles); and</w:t>
      </w:r>
    </w:p>
    <w:p>
      <w:pPr>
        <w:spacing w:after="0" w:line="160" w:lineRule="exact"/>
        <w:rPr>
          <w:rFonts w:ascii="Times New Roman" w:cs="Times New Roman" w:eastAsia="Times New Roman" w:hAnsi="Times New Roman"/>
          <w:sz w:val="21"/>
          <w:szCs w:val="21"/>
          <w:color w:val="auto"/>
        </w:rPr>
      </w:pPr>
    </w:p>
    <w:p>
      <w:pPr>
        <w:ind w:left="1920" w:firstLine="642"/>
        <w:spacing w:after="0" w:line="271" w:lineRule="auto"/>
        <w:tabs>
          <w:tab w:leader="none" w:pos="3173"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subsidiary that does not constitute a Significant Subsidiary (substituting 5% for 10% in the definition thereof);</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52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minimal credit and cash balances in bank accounts and related Investments in Cash Equivalents, Temporary Cash Investments or Investment Grade Securities, or (ii) intercompany Indebtedness, debit and credit balances with its Restricted Subsidiaries; provided that, in the case of clause (ii) such intercompany Indebtedness and credit balances are subject to the Security Documents to the extent applicable;</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98"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properties and assets (including cash, Cash Equivalents, shares of Capital Stock of another Person and/or Indebtedness and other obligations) that the Company may from time to time receive in a transaction otherwise permitted under this Indenture and the Security Documents for the purpose of transferring such properties and assets to any Subsidiary or any other Person in accordance with the terms of this Indenture, so long as in any case such further transfer is made promptly by the Company and, after giving effect thereto, the Company is again in compliance with this covenant;</w:t>
      </w:r>
    </w:p>
    <w:p>
      <w:pPr>
        <w:spacing w:after="0" w:line="18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Cash Equivalents and other Investments:</w:t>
      </w:r>
    </w:p>
    <w:p>
      <w:pPr>
        <w:spacing w:after="0" w:line="233" w:lineRule="exact"/>
        <w:rPr>
          <w:rFonts w:ascii="Times New Roman" w:cs="Times New Roman" w:eastAsia="Times New Roman" w:hAnsi="Times New Roman"/>
          <w:sz w:val="22"/>
          <w:szCs w:val="22"/>
          <w:color w:val="auto"/>
        </w:rPr>
      </w:pPr>
    </w:p>
    <w:p>
      <w:pPr>
        <w:ind w:left="3080" w:hanging="518"/>
        <w:spacing w:after="0"/>
        <w:tabs>
          <w:tab w:leader="none" w:pos="3080"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from any equity contribution or equity issuance of any kind; or</w:t>
      </w:r>
    </w:p>
    <w:p>
      <w:pPr>
        <w:spacing w:after="0" w:line="219" w:lineRule="exact"/>
        <w:rPr>
          <w:rFonts w:ascii="Times New Roman" w:cs="Times New Roman" w:eastAsia="Times New Roman" w:hAnsi="Times New Roman"/>
          <w:sz w:val="22"/>
          <w:szCs w:val="22"/>
          <w:color w:val="auto"/>
        </w:rPr>
      </w:pPr>
    </w:p>
    <w:p>
      <w:pPr>
        <w:ind w:left="1920" w:firstLine="642"/>
        <w:spacing w:after="0" w:line="271" w:lineRule="auto"/>
        <w:tabs>
          <w:tab w:leader="none" w:pos="3174" w:val="left"/>
        </w:tabs>
        <w:numPr>
          <w:ilvl w:val="2"/>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cash management or liquidity purposes for a reasonable amount of time in advance of servicing interest or paying principal or other</w:t>
      </w:r>
    </w:p>
    <w:p>
      <w:pPr>
        <w:sectPr>
          <w:pgSz w:w="11900" w:h="16838" w:orient="portrait"/>
          <w:cols w:equalWidth="0" w:num="1">
            <w:col w:w="11240"/>
          </w:cols>
          <w:pgMar w:left="320" w:top="1422" w:right="339" w:bottom="1440" w:gutter="0" w:footer="0" w:header="0"/>
        </w:sectPr>
      </w:pPr>
    </w:p>
    <w:bookmarkStart w:id="95" w:name="page96"/>
    <w:bookmarkEnd w:id="95"/>
    <w:p>
      <w:pPr>
        <w:ind w:left="800"/>
        <w:spacing w:after="0" w:line="271" w:lineRule="auto"/>
        <w:rPr>
          <w:sz w:val="20"/>
          <w:szCs w:val="20"/>
          <w:color w:val="auto"/>
        </w:rPr>
      </w:pPr>
      <w:r>
        <w:rPr>
          <w:rFonts w:ascii="Times New Roman" w:cs="Times New Roman" w:eastAsia="Times New Roman" w:hAnsi="Times New Roman"/>
          <w:sz w:val="22"/>
          <w:szCs w:val="22"/>
          <w:color w:val="auto"/>
        </w:rPr>
        <w:t>amounts in respect of any Indebtedness incurred by the Company pursuant to or in accordance with this Indenture;</w:t>
      </w:r>
    </w:p>
    <w:p>
      <w:pPr>
        <w:spacing w:after="0" w:line="158" w:lineRule="exact"/>
        <w:rPr>
          <w:sz w:val="20"/>
          <w:szCs w:val="20"/>
          <w:color w:val="auto"/>
        </w:rPr>
      </w:pPr>
    </w:p>
    <w:p>
      <w:pPr>
        <w:ind w:left="1300" w:hanging="468"/>
        <w:spacing w:after="0"/>
        <w:tabs>
          <w:tab w:leader="none" w:pos="13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ownership or lease of assets necessary for the provision of administration services, including:</w:t>
      </w:r>
    </w:p>
    <w:p>
      <w:pPr>
        <w:spacing w:after="0" w:line="233" w:lineRule="exact"/>
        <w:rPr>
          <w:rFonts w:ascii="Times New Roman" w:cs="Times New Roman" w:eastAsia="Times New Roman" w:hAnsi="Times New Roman"/>
          <w:sz w:val="22"/>
          <w:szCs w:val="22"/>
          <w:color w:val="auto"/>
        </w:rPr>
      </w:pPr>
    </w:p>
    <w:p>
      <w:pPr>
        <w:ind w:left="2000" w:hanging="558"/>
        <w:spacing w:after="0"/>
        <w:tabs>
          <w:tab w:leader="none" w:pos="200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or on-lending of monies to Restricted Subsidiaries in the manner described in (2)</w:t>
      </w:r>
    </w:p>
    <w:p>
      <w:pPr>
        <w:spacing w:after="0" w:line="27"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95" w:lineRule="exact"/>
        <w:rPr>
          <w:rFonts w:ascii="Times New Roman" w:cs="Times New Roman" w:eastAsia="Times New Roman" w:hAnsi="Times New Roman"/>
          <w:sz w:val="22"/>
          <w:szCs w:val="22"/>
          <w:color w:val="auto"/>
        </w:rPr>
      </w:pPr>
    </w:p>
    <w:p>
      <w:pPr>
        <w:ind w:left="800" w:firstLine="642"/>
        <w:spacing w:after="0" w:line="271" w:lineRule="auto"/>
        <w:tabs>
          <w:tab w:leader="none" w:pos="2069"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entering into and performance of any rights or obligations in respect of contracts and agreements with its officers, directors, employees, consultants and other providers of goods and services;</w:t>
      </w:r>
    </w:p>
    <w:p>
      <w:pPr>
        <w:spacing w:after="0" w:line="157" w:lineRule="exact"/>
        <w:rPr>
          <w:rFonts w:ascii="Times New Roman" w:cs="Times New Roman" w:eastAsia="Times New Roman" w:hAnsi="Times New Roman"/>
          <w:sz w:val="22"/>
          <w:szCs w:val="22"/>
          <w:color w:val="auto"/>
        </w:rPr>
      </w:pPr>
    </w:p>
    <w:p>
      <w:pPr>
        <w:ind w:left="1940" w:hanging="498"/>
        <w:spacing w:after="0"/>
        <w:tabs>
          <w:tab w:leader="none" w:pos="1940"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necessary to maintain its public listing; and</w:t>
      </w:r>
    </w:p>
    <w:p>
      <w:pPr>
        <w:spacing w:after="0" w:line="233" w:lineRule="exact"/>
        <w:rPr>
          <w:rFonts w:ascii="Times New Roman" w:cs="Times New Roman" w:eastAsia="Times New Roman" w:hAnsi="Times New Roman"/>
          <w:sz w:val="22"/>
          <w:szCs w:val="22"/>
          <w:color w:val="auto"/>
        </w:rPr>
      </w:pPr>
    </w:p>
    <w:p>
      <w:pPr>
        <w:ind w:left="800" w:firstLine="642"/>
        <w:spacing w:after="0" w:line="271" w:lineRule="auto"/>
        <w:tabs>
          <w:tab w:leader="none" w:pos="2097" w:val="left"/>
        </w:tabs>
        <w:numPr>
          <w:ilvl w:val="2"/>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management services to its Subsidiaries of a type customarily provided by a holding company to its Subsidiaries;</w:t>
      </w:r>
    </w:p>
    <w:p>
      <w:pPr>
        <w:spacing w:after="0" w:line="15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tax assets, income tax deposits or prepaid expenses; or</w:t>
      </w:r>
    </w:p>
    <w:p>
      <w:pPr>
        <w:spacing w:after="0" w:line="219" w:lineRule="exact"/>
        <w:rPr>
          <w:rFonts w:ascii="Times New Roman" w:cs="Times New Roman" w:eastAsia="Times New Roman" w:hAnsi="Times New Roman"/>
          <w:sz w:val="22"/>
          <w:szCs w:val="22"/>
          <w:color w:val="auto"/>
        </w:rPr>
      </w:pPr>
    </w:p>
    <w:p>
      <w:pPr>
        <w:ind w:left="180" w:firstLine="652"/>
        <w:spacing w:after="0" w:line="271" w:lineRule="auto"/>
        <w:tabs>
          <w:tab w:leader="none" w:pos="1352"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assets not specifically listed above and (i) which are ancillary to or related to those listed above or (ii) which are de minimis in nature.</w:t>
      </w:r>
    </w:p>
    <w:p>
      <w:pPr>
        <w:spacing w:after="0" w:line="157"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Trust Management SPV will:</w:t>
      </w:r>
    </w:p>
    <w:p>
      <w:pPr>
        <w:spacing w:after="0" w:line="233" w:lineRule="exact"/>
        <w:rPr>
          <w:rFonts w:ascii="Times New Roman" w:cs="Times New Roman" w:eastAsia="Times New Roman" w:hAnsi="Times New Roman"/>
          <w:sz w:val="22"/>
          <w:szCs w:val="22"/>
          <w:color w:val="auto"/>
        </w:rPr>
      </w:pPr>
    </w:p>
    <w:p>
      <w:pPr>
        <w:jc w:val="both"/>
        <w:ind w:left="180" w:firstLine="652"/>
        <w:spacing w:after="0" w:line="260" w:lineRule="auto"/>
        <w:tabs>
          <w:tab w:leader="none" w:pos="130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any business activity or undertake any other activity, other than such activities (i) necessary or ancillary to managing Trust Management Assets, including as necessary to fulfill any obligations or duties of the Trust Management SPV as a trustee and including as specifically contemplated hereby including the disposition of any Trust Management Assets, Incurrence of Indebtedness where the proceeds of such Indebtedness are used to finance the purchase of Trust Management Assets and granting Liens on Trust Management Assets or</w:t>
      </w:r>
    </w:p>
    <w:p>
      <w:pPr>
        <w:ind w:left="500" w:hanging="316"/>
        <w:spacing w:after="0"/>
        <w:tabs>
          <w:tab w:leader="none" w:pos="50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related to the establishment and maintenance of the Trust Management SPV;</w:t>
      </w:r>
    </w:p>
    <w:p>
      <w:pPr>
        <w:spacing w:after="0" w:line="207"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Capital Stock other than to the Company or any other Restricted Subsidiary;</w:t>
      </w:r>
    </w:p>
    <w:p>
      <w:pPr>
        <w:spacing w:after="0" w:line="219" w:lineRule="exact"/>
        <w:rPr>
          <w:rFonts w:ascii="Times New Roman" w:cs="Times New Roman" w:eastAsia="Times New Roman" w:hAnsi="Times New Roman"/>
          <w:sz w:val="22"/>
          <w:szCs w:val="22"/>
          <w:color w:val="auto"/>
        </w:rPr>
      </w:pPr>
    </w:p>
    <w:p>
      <w:pPr>
        <w:ind w:left="180" w:firstLine="652"/>
        <w:spacing w:after="0" w:line="271" w:lineRule="auto"/>
        <w:tabs>
          <w:tab w:leader="none" w:pos="1455"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Incur any Indebtedness other than Indebtedness without recourse to the Company or any other Restricted Subsidiary or any of their assets;</w:t>
      </w:r>
    </w:p>
    <w:p>
      <w:pPr>
        <w:spacing w:after="0" w:line="157" w:lineRule="exact"/>
        <w:rPr>
          <w:rFonts w:ascii="Times New Roman" w:cs="Times New Roman" w:eastAsia="Times New Roman" w:hAnsi="Times New Roman"/>
          <w:sz w:val="22"/>
          <w:szCs w:val="22"/>
          <w:color w:val="auto"/>
        </w:rPr>
      </w:pPr>
    </w:p>
    <w:p>
      <w:pPr>
        <w:ind w:left="180" w:firstLine="652"/>
        <w:spacing w:after="0" w:line="284" w:lineRule="auto"/>
        <w:tabs>
          <w:tab w:leader="none" w:pos="1367"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 any assets other than Trust Management Assets and any other assets necessary or ancillary to managing such Trust Management Assets; or</w:t>
      </w:r>
    </w:p>
    <w:p>
      <w:pPr>
        <w:spacing w:after="0" w:line="143"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any subsidiaries or own Capital Stock of any entity for any purpose.</w:t>
      </w:r>
    </w:p>
    <w:p>
      <w:pPr>
        <w:sectPr>
          <w:pgSz w:w="11900" w:h="16838" w:orient="portrait"/>
          <w:cols w:equalWidth="0" w:num="1">
            <w:col w:w="10120"/>
          </w:cols>
          <w:pgMar w:left="1440" w:top="1422" w:right="339" w:bottom="1440" w:gutter="0" w:footer="0" w:header="0"/>
        </w:sectPr>
      </w:pPr>
    </w:p>
    <w:bookmarkStart w:id="96" w:name="page97"/>
    <w:bookmarkEnd w:id="96"/>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4.07.</w:t>
      </w:r>
      <w:r>
        <w:rPr>
          <w:sz w:val="20"/>
          <w:szCs w:val="20"/>
          <w:color w:val="auto"/>
        </w:rPr>
        <w:tab/>
      </w:r>
      <w:r>
        <w:rPr>
          <w:rFonts w:ascii="Times New Roman" w:cs="Times New Roman" w:eastAsia="Times New Roman" w:hAnsi="Times New Roman"/>
          <w:sz w:val="21"/>
          <w:szCs w:val="21"/>
          <w:u w:val="single" w:color="auto"/>
          <w:color w:val="auto"/>
        </w:rPr>
        <w:t>Restricted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not permit any of its Restricted Subsidiaries, directly or indirectly, to:</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465"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any dividend or make any other payment or other distribution on or in respect of the Company’s or any Restricted Subsidiary’s Capital Stock (including any payment in connection with any merger or consolidation involving the Company or any of its Restricted Subsidiaries) except:</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38"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payable in Capital Stock of the Company (other than Disqualified Stock) or in options, warrants or other rights to purchase such Capital Stock of the Company or in Subordinated Shareholder Funding; and</w:t>
      </w:r>
    </w:p>
    <w:p>
      <w:pPr>
        <w:spacing w:after="0" w:line="186" w:lineRule="exact"/>
        <w:rPr>
          <w:rFonts w:ascii="Times New Roman" w:cs="Times New Roman" w:eastAsia="Times New Roman" w:hAnsi="Times New Roman"/>
          <w:sz w:val="22"/>
          <w:szCs w:val="22"/>
          <w:color w:val="auto"/>
        </w:rPr>
      </w:pPr>
    </w:p>
    <w:p>
      <w:pPr>
        <w:jc w:val="both"/>
        <w:ind w:left="1920" w:firstLine="642"/>
        <w:spacing w:after="0" w:line="252" w:lineRule="auto"/>
        <w:tabs>
          <w:tab w:leader="none" w:pos="3084"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distributions payable to the Company or a Restricted Subsidiary (and, in the case of any such Restricted Subsidiary making such dividend or distribution, to holders of its Capital Stock other than the Company or another Restricted Subsidiary on no more than a pro rata basis, measured by value);</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12"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redeem, retire or otherwise acquire for value any Capital Stock of the Company or any direct or indirect Parent of the Company held by Persons other than the Company or a Restricted Subsidiary (other than in exchange for Capital Stock of the Company (other than Disqualified Stock));</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433"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 on or in respect of, or purchase, repurchase, redeem, defease or otherwise acquire or retire for value, prior to scheduled maturity, scheduled repayment or scheduled sinking fund payment, any (x) Subordinated Indebtedness (other than, in each case, any capitalization of Subordinated Indebtedness or (a) any such payment, purchase, repurchase, redemption, defeasance or other acquisition or retirement or in anticipation of satisfying a sinking fund obligation, principal installment or final maturity, in each case, due within one year of the date of purchase, repurchase, redemption, defeasance or other acquisition or retirement, (b) a payment of interest at the applicable interest payment date and (c) any Indebtedness Incurred pursuant to Section 4.09(b)(3)) or (y) any Subordinated Shareholder Funding, other than any payment of interest thereon in the form of additional Subordinated Shareholder Funding; or</w:t>
      </w:r>
    </w:p>
    <w:p>
      <w:pPr>
        <w:spacing w:after="0" w:line="198"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Restricted Investment in any Person;</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(any such dividend, distribution, payment, purchase, redemption, repurchase, defeasance, other acquisition, retirement or Restricted Investment referred to in clauses (1) through (4) are referred</w:t>
      </w:r>
    </w:p>
    <w:p>
      <w:pPr>
        <w:sectPr>
          <w:pgSz w:w="11900" w:h="16838" w:orient="portrait"/>
          <w:cols w:equalWidth="0" w:num="1">
            <w:col w:w="11240"/>
          </w:cols>
          <w:pgMar w:left="320" w:top="142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color w:val="auto"/>
        </w:rPr>
        <w:t>to herein as a “</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if at the time the Company or such Restricted Subsidiary makes such Restricted Payment:</w:t>
      </w:r>
    </w:p>
    <w:p>
      <w:pPr>
        <w:spacing w:after="0" w:line="220" w:lineRule="exact"/>
        <w:rPr>
          <w:sz w:val="20"/>
          <w:szCs w:val="20"/>
          <w:color w:val="auto"/>
        </w:rPr>
      </w:pPr>
    </w:p>
    <w:p>
      <w:pPr>
        <w:ind w:left="3220" w:hanging="658"/>
        <w:spacing w:after="0"/>
        <w:tabs>
          <w:tab w:leader="none" w:pos="32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shall have occurred and be continuing (or would result immediately thereafter</w:t>
      </w:r>
    </w:p>
    <w:p>
      <w:pPr>
        <w:spacing w:after="0" w:line="27" w:lineRule="exact"/>
        <w:rPr>
          <w:rFonts w:ascii="Times New Roman" w:cs="Times New Roman" w:eastAsia="Times New Roman" w:hAnsi="Times New Roman"/>
          <w:sz w:val="22"/>
          <w:szCs w:val="22"/>
          <w:color w:val="auto"/>
        </w:rPr>
      </w:pPr>
    </w:p>
    <w:p>
      <w:pPr>
        <w:ind w:left="1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therefrom);</w:t>
      </w:r>
    </w:p>
    <w:p>
      <w:pPr>
        <w:spacing w:after="0" w:line="209" w:lineRule="exact"/>
        <w:rPr>
          <w:rFonts w:ascii="Times New Roman" w:cs="Times New Roman" w:eastAsia="Times New Roman" w:hAnsi="Times New Roman"/>
          <w:sz w:val="22"/>
          <w:szCs w:val="22"/>
          <w:color w:val="auto"/>
        </w:rPr>
      </w:pPr>
    </w:p>
    <w:p>
      <w:pPr>
        <w:ind w:left="1920" w:firstLine="642"/>
        <w:spacing w:after="0" w:line="271" w:lineRule="auto"/>
        <w:tabs>
          <w:tab w:leader="none" w:pos="31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is not able to Incur an additional $1.00 of Indebtedness pursuant to Section 4.09(a) after giving effect,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to such Restricted Payment; or</w:t>
      </w:r>
    </w:p>
    <w:p>
      <w:pPr>
        <w:spacing w:after="0" w:line="157" w:lineRule="exact"/>
        <w:rPr>
          <w:rFonts w:ascii="Times New Roman" w:cs="Times New Roman" w:eastAsia="Times New Roman" w:hAnsi="Times New Roman"/>
          <w:sz w:val="22"/>
          <w:szCs w:val="22"/>
          <w:color w:val="auto"/>
        </w:rPr>
      </w:pPr>
    </w:p>
    <w:p>
      <w:pPr>
        <w:jc w:val="both"/>
        <w:ind w:left="1920" w:firstLine="642"/>
        <w:spacing w:after="0" w:line="253" w:lineRule="auto"/>
        <w:tabs>
          <w:tab w:leader="none" w:pos="3173"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such Restricted Payment and all other Restricted Payments made subsequent to September 24, 2020 (and not returned or rescinded) (including, with respect to paragraphs (i) through (iv) below only Permitted Payments permitted below by Sections 4.07(b)(5) (without duplication of amounts paid pursuant to Section 4.07(b)), 4.07(b)(10) or 4.07(b)(11), but excluding all other Restricted Payments permitted by Section 4.07(b)) would exceed the sum of (without duplication):</w:t>
      </w:r>
    </w:p>
    <w:p>
      <w:pPr>
        <w:spacing w:after="0" w:line="178" w:lineRule="exact"/>
        <w:rPr>
          <w:rFonts w:ascii="Times New Roman" w:cs="Times New Roman" w:eastAsia="Times New Roman" w:hAnsi="Times New Roman"/>
          <w:sz w:val="22"/>
          <w:szCs w:val="22"/>
          <w:color w:val="auto"/>
        </w:rPr>
      </w:pPr>
    </w:p>
    <w:p>
      <w:pPr>
        <w:jc w:val="both"/>
        <w:ind w:left="2600" w:firstLine="648"/>
        <w:spacing w:after="0" w:line="253" w:lineRule="auto"/>
        <w:tabs>
          <w:tab w:leader="none" w:pos="382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Consolidated Net Income for the period (treated as one accounting period) from the first day of the first fiscal quarter commencing prior to September 24, 2020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178" w:lineRule="exact"/>
        <w:rPr>
          <w:rFonts w:ascii="Times New Roman" w:cs="Times New Roman" w:eastAsia="Times New Roman" w:hAnsi="Times New Roman"/>
          <w:sz w:val="22"/>
          <w:szCs w:val="22"/>
          <w:color w:val="auto"/>
        </w:rPr>
      </w:pPr>
    </w:p>
    <w:p>
      <w:pPr>
        <w:jc w:val="both"/>
        <w:ind w:left="2600" w:firstLine="648"/>
        <w:spacing w:after="0" w:line="247" w:lineRule="auto"/>
        <w:tabs>
          <w:tab w:leader="none" w:pos="3839"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(as determined in accordance with the next succeeding paragraph) of property or assets or marketable securities, received by the Company from the issue or sale of its Capital Stock (other than Disqualified Stock or Designated Preference Shares) or Subordinated Shareholder Funding subsequent to September 24, 2020 or otherwise contributed to the equity (other than through the issuance of Disqualified Stock or Designated Preference Shares) of the Company subsequent to September 24, 2020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Net Cash Proceeds or property or assets or marketable securities to the extent that any Restricted Payment has been made subsequent to September 24, 2020 from such proceeds in reliance on Section 4.07(b)(6) and (z) Excluded Contributions);</w:t>
      </w:r>
    </w:p>
    <w:p>
      <w:pPr>
        <w:sectPr>
          <w:pgSz w:w="11900" w:h="16838" w:orient="portrait"/>
          <w:cols w:equalWidth="0" w:num="1">
            <w:col w:w="11240"/>
          </w:cols>
          <w:pgMar w:left="320" w:top="1422" w:right="339" w:bottom="1440" w:gutter="0" w:footer="0" w:header="0"/>
        </w:sectPr>
      </w:pPr>
    </w:p>
    <w:bookmarkStart w:id="98" w:name="page99"/>
    <w:bookmarkEnd w:id="98"/>
    <w:p>
      <w:pPr>
        <w:jc w:val="both"/>
        <w:ind w:left="1480" w:firstLine="648"/>
        <w:spacing w:after="0" w:line="247" w:lineRule="auto"/>
        <w:tabs>
          <w:tab w:leader="none" w:pos="2656"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aggregate Net Cash Proceeds, and the fair market value (as determined in accordance with the last paragraph of this Section 4.07(a)) of property or assets or marketable securities, received by the Company or any Restricted Subsidiary from the issuance or sale (other than to the Company or a Restricted Subsidiary or an employee stock ownership plan or trust established by the Company or any Subsidiary of the Company for the benefit of its employees to the extent funded by the Company or any Restricted Subsidiary) by the Company or any Restricted Subsidiary subsequent to September 24, 2020 of any Indebtedness that has been converted into or exchanged for Capital Stock of the Company (other than Disqualified Stock or Designated Preference Shares) or Subordinated Shareholder Funding (plus the amount of any cash, and the fair market value (as determined in accordance with the next succeeding paragraph) of property or assets or marketable securities, received by the Company or any Restricted Subsidiary upon such conversion or exchange) but excluding (x) Net Cash Proceeds to the extent that any Restricted Payment has been made subsequent to September 24, 2020 from such proceeds in reliance on Section 4.07(b)(6) and (y) Excluded Contributions;</w:t>
      </w:r>
    </w:p>
    <w:p>
      <w:pPr>
        <w:spacing w:after="0" w:line="202" w:lineRule="exact"/>
        <w:rPr>
          <w:rFonts w:ascii="Times New Roman" w:cs="Times New Roman" w:eastAsia="Times New Roman" w:hAnsi="Times New Roman"/>
          <w:sz w:val="22"/>
          <w:szCs w:val="22"/>
          <w:color w:val="auto"/>
        </w:rPr>
      </w:pPr>
    </w:p>
    <w:p>
      <w:pPr>
        <w:ind w:left="1480" w:firstLine="648"/>
        <w:spacing w:after="0" w:line="271" w:lineRule="auto"/>
        <w:tabs>
          <w:tab w:leader="none" w:pos="2609"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equal to the net reduction in Restricted Investments made by the Company or any of its Restricted Subsidiaries resulting from:</w:t>
      </w:r>
    </w:p>
    <w:p>
      <w:pPr>
        <w:spacing w:after="0" w:line="157" w:lineRule="exact"/>
        <w:rPr>
          <w:rFonts w:ascii="Times New Roman" w:cs="Times New Roman" w:eastAsia="Times New Roman" w:hAnsi="Times New Roman"/>
          <w:sz w:val="22"/>
          <w:szCs w:val="22"/>
          <w:color w:val="auto"/>
        </w:rPr>
      </w:pPr>
    </w:p>
    <w:p>
      <w:pPr>
        <w:jc w:val="both"/>
        <w:ind w:left="800" w:firstLine="642"/>
        <w:spacing w:after="0" w:line="253" w:lineRule="auto"/>
        <w:tabs>
          <w:tab w:leader="none" w:pos="222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redemptions or other acquisitions or retirements of any such Restricted Investment, proceeds realized upon the sale or other disposition to a Person other than the Company or a Restricted Subsidiary of any such Restricted Investment, repayments of loans or advances or other transfers of assets (including by way of dividend, distribution, interest payments or returns of capital) to the Company or any Restricted Subsidiary; or</w:t>
      </w:r>
    </w:p>
    <w:p>
      <w:pPr>
        <w:spacing w:after="0" w:line="178" w:lineRule="exact"/>
        <w:rPr>
          <w:rFonts w:ascii="Times New Roman" w:cs="Times New Roman" w:eastAsia="Times New Roman" w:hAnsi="Times New Roman"/>
          <w:sz w:val="22"/>
          <w:szCs w:val="22"/>
          <w:color w:val="auto"/>
        </w:rPr>
      </w:pPr>
    </w:p>
    <w:p>
      <w:pPr>
        <w:jc w:val="both"/>
        <w:ind w:left="800" w:firstLine="642"/>
        <w:spacing w:after="0" w:line="253" w:lineRule="auto"/>
        <w:tabs>
          <w:tab w:leader="none" w:pos="196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redesignation of Unrestricted Subsidiaries as Restricted Subsidiaries (valued, in each case, as provided in the definition of “Investment”) not to exceed, in the case of any Unrestricted Subsidiary, the amount of Investments previously made by the Company or any Restricted Subsidiary in such Unrestricted Subsidiary, which amount, in each case under this clause (iv), was included in the calculation of the amount of Restricted Payments referred to in the first sentence of this clause (C);</w:t>
      </w:r>
    </w:p>
    <w:p>
      <w:pPr>
        <w:spacing w:after="0" w:line="179" w:lineRule="exact"/>
        <w:rPr>
          <w:sz w:val="20"/>
          <w:szCs w:val="20"/>
          <w:color w:val="auto"/>
        </w:rPr>
      </w:pPr>
    </w:p>
    <w:p>
      <w:pPr>
        <w:ind w:left="1480"/>
        <w:spacing w:after="0" w:line="27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amount will be included in Consolidated Net Income for purposes of the preceding clause (i)</w:t>
      </w:r>
    </w:p>
    <w:p>
      <w:pPr>
        <w:sectPr>
          <w:pgSz w:w="11900" w:h="16838" w:orient="portrait"/>
          <w:cols w:equalWidth="0" w:num="1">
            <w:col w:w="10120"/>
          </w:cols>
          <w:pgMar w:left="1440" w:top="1422" w:right="339" w:bottom="1440" w:gutter="0" w:footer="0" w:header="0"/>
        </w:sectPr>
      </w:pPr>
    </w:p>
    <w:bookmarkStart w:id="99" w:name="page100"/>
    <w:bookmarkEnd w:id="99"/>
    <w:p>
      <w:pPr>
        <w:ind w:left="2600"/>
        <w:spacing w:after="0"/>
        <w:rPr>
          <w:sz w:val="20"/>
          <w:szCs w:val="20"/>
          <w:color w:val="auto"/>
        </w:rPr>
      </w:pPr>
      <w:r>
        <w:rPr>
          <w:rFonts w:ascii="Times New Roman" w:cs="Times New Roman" w:eastAsia="Times New Roman" w:hAnsi="Times New Roman"/>
          <w:sz w:val="22"/>
          <w:szCs w:val="22"/>
          <w:color w:val="auto"/>
        </w:rPr>
        <w:t>to the extent that it is (at the Company’s option) included under this clause (iv);</w:t>
      </w:r>
    </w:p>
    <w:p>
      <w:pPr>
        <w:spacing w:after="0" w:line="220" w:lineRule="exact"/>
        <w:rPr>
          <w:sz w:val="20"/>
          <w:szCs w:val="20"/>
          <w:color w:val="auto"/>
        </w:rPr>
      </w:pPr>
    </w:p>
    <w:p>
      <w:pPr>
        <w:jc w:val="both"/>
        <w:ind w:left="2600" w:firstLine="648"/>
        <w:spacing w:after="0" w:line="263" w:lineRule="auto"/>
        <w:tabs>
          <w:tab w:leader="none" w:pos="3836"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cash and the fair market value (as determined in accordance with the last paragraph of this Section 4.07(a)) of property or assets or of marketable securities received by the Company or any of its Restricted Subsidiaries in connection with:</w:t>
      </w:r>
    </w:p>
    <w:p>
      <w:pPr>
        <w:spacing w:after="0" w:line="167" w:lineRule="exact"/>
        <w:rPr>
          <w:rFonts w:ascii="Times New Roman" w:cs="Times New Roman" w:eastAsia="Times New Roman" w:hAnsi="Times New Roman"/>
          <w:sz w:val="22"/>
          <w:szCs w:val="22"/>
          <w:color w:val="auto"/>
        </w:rPr>
      </w:pPr>
    </w:p>
    <w:p>
      <w:pPr>
        <w:jc w:val="both"/>
        <w:ind w:left="1920" w:firstLine="642"/>
        <w:spacing w:after="0" w:line="252" w:lineRule="auto"/>
        <w:tabs>
          <w:tab w:leader="none" w:pos="320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(other than to the Company or a Restricted Subsidiary or an employee stock ownership plan or trust established by the Company or any Subsidiary of the Company for the benefit of its employees to the extent funded by the Company or any Restricted Subsidiary) of Capital Stock of an Unrestricted Subsidiary of the Company; and</w:t>
      </w:r>
    </w:p>
    <w:p>
      <w:pPr>
        <w:spacing w:after="0" w:line="192" w:lineRule="exact"/>
        <w:rPr>
          <w:rFonts w:ascii="Times New Roman" w:cs="Times New Roman" w:eastAsia="Times New Roman" w:hAnsi="Times New Roman"/>
          <w:sz w:val="22"/>
          <w:szCs w:val="22"/>
          <w:color w:val="auto"/>
        </w:rPr>
      </w:pPr>
    </w:p>
    <w:p>
      <w:pPr>
        <w:ind w:left="1920" w:firstLine="642"/>
        <w:spacing w:after="0" w:line="271" w:lineRule="auto"/>
        <w:tabs>
          <w:tab w:leader="none" w:pos="3259"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 or distribution made by an Unrestricted Subsidiary to the Company or a Restricted Subsidiary,</w:t>
      </w:r>
    </w:p>
    <w:p>
      <w:pPr>
        <w:spacing w:after="0" w:line="158" w:lineRule="exact"/>
        <w:rPr>
          <w:sz w:val="20"/>
          <w:szCs w:val="20"/>
          <w:color w:val="auto"/>
        </w:rPr>
      </w:pPr>
    </w:p>
    <w:p>
      <w:pPr>
        <w:jc w:val="both"/>
        <w:ind w:left="2600"/>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amount will be included in Consolidated Net Income for purposes of the preceding clause (i) to the extent that it is (at the Company’s option) included under this clause (v);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amount shall not exceed the amount included in the calculation of the amount of Restricted Payments referred to in the first sentence of this clause (C); and</w:t>
      </w:r>
    </w:p>
    <w:p>
      <w:pPr>
        <w:spacing w:after="0" w:line="179" w:lineRule="exact"/>
        <w:rPr>
          <w:sz w:val="20"/>
          <w:szCs w:val="20"/>
          <w:color w:val="auto"/>
        </w:rPr>
      </w:pPr>
    </w:p>
    <w:p>
      <w:pPr>
        <w:ind w:left="3840" w:hanging="592"/>
        <w:spacing w:after="0"/>
        <w:tabs>
          <w:tab w:leader="none" w:pos="38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$175,000,000.</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fair market value of property or assets other than cash covered by Section 4.07(a)(C)(iii) shall be the fair market value thereof as determined in good faith by the Board of Directors of the Company.</w:t>
      </w:r>
    </w:p>
    <w:p>
      <w:pPr>
        <w:spacing w:after="0" w:line="158" w:lineRule="exact"/>
        <w:rPr>
          <w:sz w:val="20"/>
          <w:szCs w:val="20"/>
          <w:color w:val="auto"/>
        </w:rPr>
      </w:pPr>
    </w:p>
    <w:p>
      <w:pPr>
        <w:ind w:left="1760" w:hanging="456"/>
        <w:spacing w:after="0"/>
        <w:tabs>
          <w:tab w:leader="none" w:pos="17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will not prohibit any of the following (collectively, “</w:t>
      </w:r>
      <w:r>
        <w:rPr>
          <w:rFonts w:ascii="Times New Roman" w:cs="Times New Roman" w:eastAsia="Times New Roman" w:hAnsi="Times New Roman"/>
          <w:sz w:val="22"/>
          <w:szCs w:val="22"/>
          <w:u w:val="single" w:color="auto"/>
          <w:color w:val="auto"/>
        </w:rPr>
        <w:t>Permitted Payments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33"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Capital Stock, Disqualified Stock, Designated Preference Shares, Subordinated Shareholder Funding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or Designated Preference Shares), Subordinated Shareholder Funding or a substantially concurrent contribution to the equity (other than through the issuance of Disqualified Stock or Designated Preference Shares or</w:t>
      </w:r>
    </w:p>
    <w:p>
      <w:pPr>
        <w:sectPr>
          <w:pgSz w:w="11900" w:h="16838" w:orient="portrait"/>
          <w:cols w:equalWidth="0" w:num="1">
            <w:col w:w="11240"/>
          </w:cols>
          <w:pgMar w:left="320" w:top="1422" w:right="339" w:bottom="1440" w:gutter="0" w:footer="0" w:header="0"/>
        </w:sectPr>
      </w:pPr>
    </w:p>
    <w:bookmarkStart w:id="100" w:name="page101"/>
    <w:bookmarkEnd w:id="100"/>
    <w:p>
      <w:pPr>
        <w:jc w:val="both"/>
        <w:ind w:left="180"/>
        <w:spacing w:after="0" w:line="256" w:lineRule="auto"/>
        <w:rPr>
          <w:sz w:val="20"/>
          <w:szCs w:val="20"/>
          <w:color w:val="auto"/>
        </w:rPr>
      </w:pPr>
      <w:r>
        <w:rPr>
          <w:rFonts w:ascii="Times New Roman" w:cs="Times New Roman" w:eastAsia="Times New Roman" w:hAnsi="Times New Roman"/>
          <w:sz w:val="22"/>
          <w:szCs w:val="22"/>
          <w:color w:val="auto"/>
        </w:rPr>
        <w:t xml:space="preserve">through an Excluded Contribution)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so applied, the Net Cash Proceeds, or fair market value (as determined in accordance with the preceding sentence) of property or assets or of marketable securities, from such sale of Capital Stock, Subordinated Shareholder Funding or such contribution will be excluded from Section 4.07(a)(C)(ii);</w:t>
      </w:r>
    </w:p>
    <w:p>
      <w:pPr>
        <w:spacing w:after="0" w:line="176" w:lineRule="exact"/>
        <w:rPr>
          <w:sz w:val="20"/>
          <w:szCs w:val="20"/>
          <w:color w:val="auto"/>
        </w:rPr>
      </w:pPr>
    </w:p>
    <w:p>
      <w:pPr>
        <w:jc w:val="both"/>
        <w:ind w:left="180" w:firstLine="652"/>
        <w:spacing w:after="0" w:line="257" w:lineRule="auto"/>
        <w:tabs>
          <w:tab w:leader="none" w:pos="133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Subordinated Indebtedness made by exchange for, or out of the proceeds of the substantially concurrent sale of, Refinancing Indebtedness permitted to be Incurred pursuant to Section 4.09;</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42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Preferred Stock of the Company or a Restricted Subsidiary made by exchange for or out of the proceeds of the substantially concurrent sale of Preferred Stock of the Company or a Restricted Subsidiary, as the case may be, that, in each case, is permitted to be Incurred pursuant to Section 4.09, and that in each case, constitutes Refinancing Indebtedness;</w:t>
      </w:r>
    </w:p>
    <w:p>
      <w:pPr>
        <w:spacing w:after="0" w:line="178"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33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purchase, repurchase, redemption, defeasance or other acquisition or retirement of Subordinated Indebtedness:</w:t>
      </w:r>
    </w:p>
    <w:p>
      <w:pPr>
        <w:spacing w:after="0" w:line="171" w:lineRule="exact"/>
        <w:rPr>
          <w:rFonts w:ascii="Times New Roman" w:cs="Times New Roman" w:eastAsia="Times New Roman" w:hAnsi="Times New Roman"/>
          <w:sz w:val="22"/>
          <w:szCs w:val="22"/>
          <w:color w:val="auto"/>
        </w:rPr>
      </w:pPr>
    </w:p>
    <w:p>
      <w:pPr>
        <w:jc w:val="both"/>
        <w:ind w:left="800" w:firstLine="642"/>
        <w:spacing w:after="0" w:line="251" w:lineRule="auto"/>
        <w:tabs>
          <w:tab w:leader="none" w:pos="212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Net Available Cash to the extent permitted under Section 4.10, but only (i) if the Company shall have first complied with the terms described under Section 4.10 and the Company shall have purchased all Notes tendered pursuant to any offer to repurchase all the Notes required thereby, prior to such purchase, repurchase, redemption, defeasance or other acquisition or retirement of such Subordinated Indebtedness and (ii) at a purchase price not greater than 100% of the principal amount of such Subordinated Indebtedness plus accrued and unpaid interest; or</w:t>
      </w:r>
    </w:p>
    <w:p>
      <w:pPr>
        <w:spacing w:after="0" w:line="181" w:lineRule="exact"/>
        <w:rPr>
          <w:rFonts w:ascii="Times New Roman" w:cs="Times New Roman" w:eastAsia="Times New Roman" w:hAnsi="Times New Roman"/>
          <w:sz w:val="22"/>
          <w:szCs w:val="22"/>
          <w:color w:val="auto"/>
        </w:rPr>
      </w:pPr>
    </w:p>
    <w:p>
      <w:pPr>
        <w:jc w:val="both"/>
        <w:ind w:left="800" w:firstLine="642"/>
        <w:spacing w:after="0" w:line="250" w:lineRule="auto"/>
        <w:tabs>
          <w:tab w:leader="none" w:pos="197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the agreement governing such Subordinated Indebtedness, following the occurrence of a Change of Control (or other similar event described therein as a “change of control”), but only (i) if the Company shall be required to make a Change of Control Offer under Section 4.15 and shall have complied with Section 4.15 and purchased all Notes tendered pursuant to the offer to repurchase all the Notes required thereby, prior to such purchase, repurchase, redemption, defeasance or other acquisition or retirement of such Subordinated Indebtedness and (ii) at a purchase price not greater than 101% of the principal amount of such Subordinated Indebtedness plus accrued and unpaid interest;</w:t>
      </w:r>
    </w:p>
    <w:p>
      <w:pPr>
        <w:spacing w:after="0" w:line="180" w:lineRule="exact"/>
        <w:rPr>
          <w:rFonts w:ascii="Times New Roman" w:cs="Times New Roman" w:eastAsia="Times New Roman" w:hAnsi="Times New Roman"/>
          <w:sz w:val="22"/>
          <w:szCs w:val="22"/>
          <w:color w:val="auto"/>
        </w:rPr>
      </w:pPr>
    </w:p>
    <w:p>
      <w:pPr>
        <w:ind w:left="180" w:firstLine="652"/>
        <w:spacing w:after="0" w:line="271" w:lineRule="auto"/>
        <w:tabs>
          <w:tab w:leader="none" w:pos="1385"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dividends paid within 60 days after the date of declaration if at such date of declaration such dividend would have complied with this Section 4.07 and (ii) payments associated with the Transactions;</w:t>
      </w:r>
    </w:p>
    <w:p>
      <w:pPr>
        <w:sectPr>
          <w:pgSz w:w="11900" w:h="16838" w:orient="portrait"/>
          <w:cols w:equalWidth="0" w:num="1">
            <w:col w:w="10120"/>
          </w:cols>
          <w:pgMar w:left="1440" w:top="1422" w:right="339" w:bottom="1440" w:gutter="0" w:footer="0" w:header="0"/>
        </w:sectPr>
      </w:pPr>
    </w:p>
    <w:bookmarkStart w:id="101" w:name="page102"/>
    <w:bookmarkEnd w:id="101"/>
    <w:p>
      <w:pPr>
        <w:jc w:val="both"/>
        <w:ind w:left="180" w:firstLine="652"/>
        <w:spacing w:after="0" w:line="247" w:lineRule="auto"/>
        <w:tabs>
          <w:tab w:leader="none" w:pos="134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 repurchase, redemption, defeasance or other acquisition, cancellation or retirement for value of Capital Stock of the Company or any Parent (including any options, warrants or other rights in respect thereof) and loans, advances, dividends or distributions by the Company to any Parent to permit any Parent to purchase, repurchase, redeem, defease or otherwise acquire, cancel or retire for value Capital Stock of any Parent (including any options, warrants or other rights in respect thereof), or payments to purchase, repurchase, redeem, defease or otherwise acquire, cancel or retire for value Capital Stock of any Parent (including any options, warrants or other rights in respect thereof), in each case from Management Investors;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payments, loans, advances, dividends or distributions do not exceed an amount (net of repayments of any such loans or advances) equal to (a) $12.5 million plus (b) $5.0 million multiplied by the number of calendar years that have commenced since September 24, 2020 plus (c) the Net Cash Proceeds received by the Company or its Restricted Subsidiaries since September 24, 2020 (including through receipt of proceeds from the issuance or sale of its Capital Stock or Subordinated Shareholder Funding to a Parent) from, or as a contribution to the equity (in each case under this clause (c), other than through the issuance of Disqualified Stock or Designated Preference Shares) of the Company from, the issuance or sale to Management Investors of Capital Stock (including any options, warrants or other rights in respect thereof), to the extent such Net Cash Proceeds are not included in any calculation under Sections 4.07(a)(C)(ii) or 4.07(a)(C)(iii);</w:t>
      </w:r>
    </w:p>
    <w:p>
      <w:pPr>
        <w:spacing w:after="0" w:line="194" w:lineRule="exact"/>
        <w:rPr>
          <w:rFonts w:ascii="Times New Roman" w:cs="Times New Roman" w:eastAsia="Times New Roman" w:hAnsi="Times New Roman"/>
          <w:sz w:val="22"/>
          <w:szCs w:val="22"/>
          <w:color w:val="auto"/>
        </w:rPr>
      </w:pPr>
    </w:p>
    <w:p>
      <w:pPr>
        <w:ind w:left="180" w:firstLine="652"/>
        <w:spacing w:after="0" w:line="271" w:lineRule="auto"/>
        <w:tabs>
          <w:tab w:leader="none" w:pos="130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and payment of dividends to holders of any class or series of Disqualified Stock, or of any Preferred Stock of a Restricted Subsidiary, incurred in accordance with Section 4.09;</w:t>
      </w:r>
    </w:p>
    <w:p>
      <w:pPr>
        <w:spacing w:after="0" w:line="157" w:lineRule="exact"/>
        <w:rPr>
          <w:rFonts w:ascii="Times New Roman" w:cs="Times New Roman" w:eastAsia="Times New Roman" w:hAnsi="Times New Roman"/>
          <w:sz w:val="22"/>
          <w:szCs w:val="22"/>
          <w:color w:val="auto"/>
        </w:rPr>
      </w:pPr>
    </w:p>
    <w:p>
      <w:pPr>
        <w:jc w:val="both"/>
        <w:ind w:left="180" w:right="20" w:firstLine="652"/>
        <w:spacing w:after="0" w:line="263" w:lineRule="auto"/>
        <w:tabs>
          <w:tab w:leader="none" w:pos="144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repurchases, redemptions, defeasances or other acquisitions or retirements of Capital Stock deemed to occur upon the exercise of stock options, warrants or other rights in respect thereof if such Capital Stock represents a portion of the exercise price thereof;</w:t>
      </w:r>
    </w:p>
    <w:p>
      <w:pPr>
        <w:spacing w:after="0" w:line="167" w:lineRule="exact"/>
        <w:rPr>
          <w:rFonts w:ascii="Times New Roman" w:cs="Times New Roman" w:eastAsia="Times New Roman" w:hAnsi="Times New Roman"/>
          <w:sz w:val="22"/>
          <w:szCs w:val="22"/>
          <w:color w:val="auto"/>
        </w:rPr>
      </w:pPr>
    </w:p>
    <w:p>
      <w:pPr>
        <w:ind w:left="180" w:firstLine="652"/>
        <w:spacing w:after="0" w:line="271" w:lineRule="auto"/>
        <w:tabs>
          <w:tab w:leader="none" w:pos="135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loans, advances or distributions to any Parent or other payments by the Company or any Restricted Subsidiary in amounts equal to (without duplication):</w:t>
      </w:r>
    </w:p>
    <w:p>
      <w:pPr>
        <w:spacing w:after="0" w:line="157" w:lineRule="exact"/>
        <w:rPr>
          <w:rFonts w:ascii="Times New Roman" w:cs="Times New Roman" w:eastAsia="Times New Roman" w:hAnsi="Times New Roman"/>
          <w:sz w:val="22"/>
          <w:szCs w:val="22"/>
          <w:color w:val="auto"/>
        </w:rPr>
      </w:pPr>
    </w:p>
    <w:p>
      <w:pPr>
        <w:ind w:left="1960" w:hanging="518"/>
        <w:spacing w:after="0"/>
        <w:tabs>
          <w:tab w:leader="none" w:pos="1960"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amounts required for any Parent to pay any Related Taxes; or</w:t>
      </w:r>
    </w:p>
    <w:p>
      <w:pPr>
        <w:spacing w:after="0" w:line="233" w:lineRule="exact"/>
        <w:rPr>
          <w:rFonts w:ascii="Times New Roman" w:cs="Times New Roman" w:eastAsia="Times New Roman" w:hAnsi="Times New Roman"/>
          <w:sz w:val="22"/>
          <w:szCs w:val="22"/>
          <w:color w:val="auto"/>
        </w:rPr>
      </w:pPr>
    </w:p>
    <w:p>
      <w:pPr>
        <w:ind w:left="800" w:firstLine="642"/>
        <w:spacing w:after="0" w:line="271" w:lineRule="auto"/>
        <w:tabs>
          <w:tab w:leader="none" w:pos="1969"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amounts constituting or to be used for purposes of making payments to the extent specified in Sections 4.11(b)(2), 4.11(b)(3), 4.11(b)(5) and 4.11(b)(7);</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60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no Default or Event of Default has occurred and is continuing (or would result therefrom), (i) the declaration and payment by the Company of, or loans, advances, dividends or distributions to pay, dividends on</w:t>
      </w:r>
    </w:p>
    <w:p>
      <w:pPr>
        <w:sectPr>
          <w:pgSz w:w="11900" w:h="16838" w:orient="portrait"/>
          <w:cols w:equalWidth="0" w:num="1">
            <w:col w:w="10120"/>
          </w:cols>
          <w:pgMar w:left="1440" w:top="1422" w:right="339" w:bottom="1440" w:gutter="0" w:footer="0" w:header="0"/>
        </w:sectPr>
      </w:pPr>
    </w:p>
    <w:bookmarkStart w:id="102" w:name="page103"/>
    <w:bookmarkEnd w:id="102"/>
    <w:p>
      <w:pPr>
        <w:jc w:val="both"/>
        <w:ind w:left="180"/>
        <w:spacing w:after="0" w:line="262" w:lineRule="auto"/>
        <w:rPr>
          <w:sz w:val="20"/>
          <w:szCs w:val="20"/>
          <w:color w:val="auto"/>
        </w:rPr>
      </w:pPr>
      <w:r>
        <w:rPr>
          <w:rFonts w:ascii="Times New Roman" w:cs="Times New Roman" w:eastAsia="Times New Roman" w:hAnsi="Times New Roman"/>
          <w:sz w:val="21"/>
          <w:szCs w:val="21"/>
          <w:color w:val="auto"/>
        </w:rPr>
        <w:t xml:space="preserve">the common stock or common equity interests of the Company or (ii) the purchase, repurchase, redemption, defeasance or other acquisition, cancellation or retirement for value of Capital Stock of the Company (including any options, warrants or other rights in respect thereof) in an aggregate amount not to exceed in any fiscal year the greater of (a) 7% of the Market Capitalization, provided that after giving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effect to such payments, loans, advances, dividends or distributions, the Consolidated Net Leverage Ratio for the Company and its Restricted Subsidiaries shall be equal to or less than 3.0 to 1.0; and (b) 6% of the Market Capitalization, provided that after giving </w:t>
      </w:r>
      <w:r>
        <w:rPr>
          <w:rFonts w:ascii="Times New Roman" w:cs="Times New Roman" w:eastAsia="Times New Roman" w:hAnsi="Times New Roman"/>
          <w:sz w:val="21"/>
          <w:szCs w:val="21"/>
          <w:u w:val="single" w:color="auto"/>
          <w:color w:val="auto"/>
        </w:rPr>
        <w:t>pro forma</w:t>
      </w:r>
      <w:r>
        <w:rPr>
          <w:rFonts w:ascii="Times New Roman" w:cs="Times New Roman" w:eastAsia="Times New Roman" w:hAnsi="Times New Roman"/>
          <w:sz w:val="21"/>
          <w:szCs w:val="21"/>
          <w:color w:val="auto"/>
        </w:rPr>
        <w:t xml:space="preserve"> effect to such payments, loans, advances, dividends or distributions, the Consolidated Net Leverage Ratio for the Company and its Restricted Subsidiaries shall be equal to or less than 3.5 to 1.0;</w:t>
      </w:r>
    </w:p>
    <w:p>
      <w:pPr>
        <w:spacing w:after="0" w:line="186" w:lineRule="exact"/>
        <w:rPr>
          <w:sz w:val="20"/>
          <w:szCs w:val="20"/>
          <w:color w:val="auto"/>
        </w:rPr>
      </w:pPr>
    </w:p>
    <w:p>
      <w:pPr>
        <w:jc w:val="both"/>
        <w:ind w:left="180" w:firstLine="652"/>
        <w:spacing w:after="0" w:line="250" w:lineRule="auto"/>
        <w:tabs>
          <w:tab w:leader="none" w:pos="160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 long as no Default or Event of Default has occurred and is continuing (or would result therefrom), (a) Restricted Payments (including loans or advances) in an aggregate amount outstanding at any time not to exceed $125.0 million and (b) any Restricted Payment (including loans or advances);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Consolidated Net Leverage Ratio on a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basis after giving effect to any such Restricted Payment does not exceed 2.00 to 1.0;</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50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payments by the Company, or loans, advances, dividends or distributions to any Parent to make payments, to holders of Capital Stock of the Company or any Parent in lieu of the issuance of fractional shares of such Capital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payment, loan, advance, dividend or distribution shall not be for the purpose of evading any limitation of this Section 4.07 or otherwise to facilitate any dividend or other return of capital to the holders of such Capital Stock (as determined in good faith by the Board of Directors of the Company);</w:t>
      </w:r>
    </w:p>
    <w:p>
      <w:pPr>
        <w:spacing w:after="0" w:line="194" w:lineRule="exact"/>
        <w:rPr>
          <w:rFonts w:ascii="Times New Roman" w:cs="Times New Roman" w:eastAsia="Times New Roman" w:hAnsi="Times New Roman"/>
          <w:sz w:val="22"/>
          <w:szCs w:val="22"/>
          <w:color w:val="auto"/>
        </w:rPr>
      </w:pPr>
    </w:p>
    <w:p>
      <w:pPr>
        <w:jc w:val="both"/>
        <w:ind w:left="180" w:firstLine="652"/>
        <w:spacing w:after="0" w:line="275" w:lineRule="auto"/>
        <w:tabs>
          <w:tab w:leader="none" w:pos="155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an aggregate amount outstanding at any time not to exceed the aggregate cash amount of Excluded Contributions, or consisting of non-cash Excluded Contributions, or Investments to the extent made in exchange for or using as consideration Investments previously made under this Section 4.07(b)(13);</w:t>
      </w:r>
    </w:p>
    <w:p>
      <w:pPr>
        <w:spacing w:after="0" w:line="155" w:lineRule="exact"/>
        <w:rPr>
          <w:rFonts w:ascii="Times New Roman" w:cs="Times New Roman" w:eastAsia="Times New Roman" w:hAnsi="Times New Roman"/>
          <w:sz w:val="21"/>
          <w:szCs w:val="21"/>
          <w:color w:val="auto"/>
        </w:rPr>
      </w:pPr>
    </w:p>
    <w:p>
      <w:pPr>
        <w:jc w:val="both"/>
        <w:ind w:left="180" w:firstLine="652"/>
        <w:spacing w:after="0" w:line="249" w:lineRule="auto"/>
        <w:tabs>
          <w:tab w:leader="none" w:pos="1583"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declaration and payment of dividends to holders of any class or series of Designated Preference Shares of the Company issued after the Issue Date; and (ii) the declaration and payment of dividends to any Parent or any Affiliate thereof, the proceeds of which will be used to fund the payment of dividends to holders of any class or series of Designated Preference Shares of such Parent issued after the Issue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amount of all dividends declared or paid pursuant to this Section 4.07(b)(14) shall not exceed the Net Cash Proceeds received by the Company or, in the case of Designated Preference Shares issued by any Parent or any Affiliate thereof, the aggregate amount contributed in cash to the equity (other than through the issuance of</w:t>
      </w:r>
    </w:p>
    <w:p>
      <w:pPr>
        <w:sectPr>
          <w:pgSz w:w="11900" w:h="16838" w:orient="portrait"/>
          <w:cols w:equalWidth="0" w:num="1">
            <w:col w:w="10120"/>
          </w:cols>
          <w:pgMar w:left="1440" w:top="1422" w:right="339" w:bottom="1440" w:gutter="0" w:footer="0" w:header="0"/>
        </w:sectPr>
      </w:pPr>
    </w:p>
    <w:bookmarkStart w:id="103" w:name="page104"/>
    <w:bookmarkEnd w:id="103"/>
    <w:p>
      <w:pPr>
        <w:ind w:left="1300"/>
        <w:spacing w:after="0" w:line="271" w:lineRule="auto"/>
        <w:rPr>
          <w:sz w:val="20"/>
          <w:szCs w:val="20"/>
          <w:color w:val="auto"/>
        </w:rPr>
      </w:pPr>
      <w:r>
        <w:rPr>
          <w:rFonts w:ascii="Times New Roman" w:cs="Times New Roman" w:eastAsia="Times New Roman" w:hAnsi="Times New Roman"/>
          <w:sz w:val="22"/>
          <w:szCs w:val="22"/>
          <w:color w:val="auto"/>
        </w:rPr>
        <w:t>Disqualified Stock or an Excluded Contribution) of the Company or loaned as Subordinated Shareholder Funding to the Company, from the issuance or sale of such Designated Preference Shares; and</w:t>
      </w:r>
    </w:p>
    <w:p>
      <w:pPr>
        <w:spacing w:after="0" w:line="158" w:lineRule="exact"/>
        <w:rPr>
          <w:sz w:val="20"/>
          <w:szCs w:val="20"/>
          <w:color w:val="auto"/>
        </w:rPr>
      </w:pPr>
    </w:p>
    <w:p>
      <w:pPr>
        <w:ind w:left="2620" w:hanging="668"/>
        <w:spacing w:after="0"/>
        <w:tabs>
          <w:tab w:leader="none" w:pos="262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or other distributions of Capital Stock, Indebtedness or other securities of Unrestricted</w:t>
      </w:r>
    </w:p>
    <w:p>
      <w:pPr>
        <w:spacing w:after="0" w:line="2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Subsidiaries.</w:t>
      </w:r>
    </w:p>
    <w:p>
      <w:pPr>
        <w:spacing w:after="0" w:line="20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0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shall be determined conclusively by the Board of Directors of the Company acting in good faith.</w:t>
      </w:r>
    </w:p>
    <w:p>
      <w:pPr>
        <w:spacing w:after="0" w:line="179"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4.08.</w:t>
      </w:r>
      <w:r>
        <w:rPr>
          <w:sz w:val="20"/>
          <w:szCs w:val="20"/>
          <w:color w:val="auto"/>
        </w:rPr>
        <w:tab/>
      </w:r>
      <w:r>
        <w:rPr>
          <w:rFonts w:ascii="Times New Roman" w:cs="Times New Roman" w:eastAsia="Times New Roman" w:hAnsi="Times New Roman"/>
          <w:sz w:val="21"/>
          <w:szCs w:val="21"/>
          <w:u w:val="single" w:color="auto"/>
          <w:color w:val="auto"/>
        </w:rPr>
        <w:t>Limitation on Restrictions on Distributions from Restricted Subsidiaries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95" w:lineRule="auto"/>
        <w:tabs>
          <w:tab w:leader="none" w:pos="1748"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and shall not permit any Restricted Subsidiary to, create or otherwise cause or permit to exist or become effective any consensual encumbrance or consensual restriction on the ability of any Restricted Subsidiary to:</w:t>
      </w:r>
    </w:p>
    <w:p>
      <w:pPr>
        <w:spacing w:after="0" w:line="135" w:lineRule="exact"/>
        <w:rPr>
          <w:rFonts w:ascii="Times New Roman" w:cs="Times New Roman" w:eastAsia="Times New Roman" w:hAnsi="Times New Roman"/>
          <w:sz w:val="21"/>
          <w:szCs w:val="21"/>
          <w:color w:val="auto"/>
        </w:rPr>
      </w:pPr>
    </w:p>
    <w:p>
      <w:pPr>
        <w:ind w:left="1300" w:firstLine="652"/>
        <w:spacing w:after="0" w:line="271" w:lineRule="auto"/>
        <w:tabs>
          <w:tab w:leader="none" w:pos="248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dividends or make any other distributions in cash or otherwise on its Capital Stock or pay any Indebtedness or other obligations owed to the Company or any Restricted Subsidiary;</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loans or advances to the Company or any Restricted Subsidiary;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lease or transfer any of its property or assets to the Company or any Restricted Subsidiary,</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w:t>
      </w:r>
    </w:p>
    <w:p>
      <w:pPr>
        <w:spacing w:after="0" w:line="176" w:lineRule="exact"/>
        <w:rPr>
          <w:sz w:val="20"/>
          <w:szCs w:val="20"/>
          <w:color w:val="auto"/>
        </w:rPr>
      </w:pPr>
    </w:p>
    <w:p>
      <w:pPr>
        <w:ind w:left="1760" w:hanging="456"/>
        <w:spacing w:after="0"/>
        <w:tabs>
          <w:tab w:leader="none" w:pos="176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4.08(a) shall not prohibit:</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42"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(a) the Senior Facilities Agreement, or (b) any other agreement or instrument (including the Existing Secured Notes Indentures the Existing Unsecured Notes Indenture), in each case, in effect at or entered into on the Issue Date;</w:t>
      </w:r>
    </w:p>
    <w:p>
      <w:pPr>
        <w:spacing w:after="0" w:line="186" w:lineRule="exact"/>
        <w:rPr>
          <w:rFonts w:ascii="Times New Roman" w:cs="Times New Roman" w:eastAsia="Times New Roman" w:hAnsi="Times New Roman"/>
          <w:sz w:val="22"/>
          <w:szCs w:val="22"/>
          <w:color w:val="auto"/>
        </w:rPr>
      </w:pPr>
    </w:p>
    <w:p>
      <w:pPr>
        <w:ind w:left="1300" w:firstLine="652"/>
        <w:spacing w:after="0" w:line="271" w:lineRule="auto"/>
        <w:tabs>
          <w:tab w:leader="none" w:pos="244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an agreement or instrument of a Person or relating to any Capital Stock or Indebtedness of a</w:t>
      </w:r>
    </w:p>
    <w:p>
      <w:pPr>
        <w:sectPr>
          <w:pgSz w:w="11900" w:h="16838" w:orient="portrait"/>
          <w:cols w:equalWidth="0" w:num="1">
            <w:col w:w="11240"/>
          </w:cols>
          <w:pgMar w:left="320" w:top="1422" w:right="339" w:bottom="1440" w:gutter="0" w:footer="0" w:header="0"/>
        </w:sectPr>
      </w:pPr>
    </w:p>
    <w:bookmarkStart w:id="104" w:name="page105"/>
    <w:bookmarkEnd w:id="104"/>
    <w:p>
      <w:pPr>
        <w:jc w:val="both"/>
        <w:ind w:left="968"/>
        <w:spacing w:after="0" w:line="248" w:lineRule="auto"/>
        <w:rPr>
          <w:sz w:val="20"/>
          <w:szCs w:val="20"/>
          <w:color w:val="auto"/>
        </w:rPr>
      </w:pPr>
      <w:r>
        <w:rPr>
          <w:rFonts w:ascii="Times New Roman" w:cs="Times New Roman" w:eastAsia="Times New Roman" w:hAnsi="Times New Roman"/>
          <w:sz w:val="22"/>
          <w:szCs w:val="22"/>
          <w:color w:val="auto"/>
        </w:rPr>
        <w:t xml:space="preserve">Person, entered into on or before the date on which such Person was acquired by or merged, consolidated or otherwise combined with or into the Company or any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or was merged, consolidated or otherwise combined with or into the Company or any Restricted Subsidiary or entered into in connection with such transaction) and outstanding on such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purposes of this Section 4.08(b)(2), if another Person is the Successor Company, any Subsidiary thereof or agreement or instrument of such Person or any such Subsidiary shall be deemed acquired or assumed by the Company or any Restricted Subsidiary when such Person becomes the Successor Company;</w:t>
      </w:r>
    </w:p>
    <w:p>
      <w:pPr>
        <w:spacing w:after="0" w:line="189" w:lineRule="exact"/>
        <w:rPr>
          <w:sz w:val="20"/>
          <w:szCs w:val="20"/>
          <w:color w:val="auto"/>
        </w:rPr>
      </w:pPr>
    </w:p>
    <w:p>
      <w:pPr>
        <w:jc w:val="both"/>
        <w:ind w:left="968" w:firstLine="652"/>
        <w:spacing w:after="0" w:line="264" w:lineRule="auto"/>
        <w:tabs>
          <w:tab w:leader="none" w:pos="2189" w:val="left"/>
        </w:tabs>
        <w:numPr>
          <w:ilvl w:val="2"/>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encumbrance or restriction pursuant to an agreement or instrument effecting a refinancing of Indebtedness Incurred pursuant to, or that otherwise refinances, an agreement or instrument referred to in Section 4.08(b)(1) or Section 4.08(b)(2) or this Section 4.08(b)(3) (an “</w:t>
      </w:r>
      <w:r>
        <w:rPr>
          <w:rFonts w:ascii="Times New Roman" w:cs="Times New Roman" w:eastAsia="Times New Roman" w:hAnsi="Times New Roman"/>
          <w:sz w:val="21"/>
          <w:szCs w:val="21"/>
          <w:u w:val="single" w:color="auto"/>
          <w:color w:val="auto"/>
        </w:rPr>
        <w:t>Initial Agreement</w:t>
      </w:r>
      <w:r>
        <w:rPr>
          <w:rFonts w:ascii="Times New Roman" w:cs="Times New Roman" w:eastAsia="Times New Roman" w:hAnsi="Times New Roman"/>
          <w:sz w:val="21"/>
          <w:szCs w:val="21"/>
          <w:color w:val="auto"/>
        </w:rPr>
        <w:t>”) or contained in any amendment, supplement or other modification to an agreement referred to in Section 4.08(b)(1) or Section 4.08(b)</w:t>
      </w:r>
    </w:p>
    <w:p>
      <w:pPr>
        <w:jc w:val="both"/>
        <w:ind w:left="968" w:firstLine="4"/>
        <w:spacing w:after="0" w:line="247" w:lineRule="auto"/>
        <w:tabs>
          <w:tab w:leader="none" w:pos="1317"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or this Section 4.08(b)(3);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encumbrances and restrictions with respect to the Company or any Restricted Subsidiary contained in any such agreement or 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Company);</w:t>
      </w:r>
    </w:p>
    <w:p>
      <w:pPr>
        <w:spacing w:after="0" w:line="186" w:lineRule="exact"/>
        <w:rPr>
          <w:rFonts w:ascii="Times New Roman" w:cs="Times New Roman" w:eastAsia="Times New Roman" w:hAnsi="Times New Roman"/>
          <w:sz w:val="22"/>
          <w:szCs w:val="22"/>
          <w:color w:val="auto"/>
        </w:rPr>
      </w:pPr>
    </w:p>
    <w:p>
      <w:pPr>
        <w:ind w:left="2088" w:hanging="468"/>
        <w:spacing w:after="0"/>
        <w:tabs>
          <w:tab w:leader="none" w:pos="2088" w:val="left"/>
        </w:tabs>
        <w:numPr>
          <w:ilvl w:val="2"/>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w:t>
      </w:r>
    </w:p>
    <w:p>
      <w:pPr>
        <w:spacing w:after="0" w:line="219" w:lineRule="exact"/>
        <w:rPr>
          <w:rFonts w:ascii="Times New Roman" w:cs="Times New Roman" w:eastAsia="Times New Roman" w:hAnsi="Times New Roman"/>
          <w:sz w:val="22"/>
          <w:szCs w:val="22"/>
          <w:color w:val="auto"/>
        </w:rPr>
      </w:pPr>
    </w:p>
    <w:p>
      <w:pPr>
        <w:ind w:left="328" w:right="20" w:hanging="328"/>
        <w:spacing w:after="0" w:line="284" w:lineRule="auto"/>
        <w:tabs>
          <w:tab w:leader="none" w:pos="53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that restricts in a customary manner the subletting, assignment or transfer of any property or asset that is subject to a lease, license or similar contract, or the assignment or transfer of any lease, license or other contract;</w:t>
      </w:r>
    </w:p>
    <w:p>
      <w:pPr>
        <w:spacing w:after="0" w:line="143" w:lineRule="exact"/>
        <w:rPr>
          <w:rFonts w:ascii="Times New Roman" w:cs="Times New Roman" w:eastAsia="Times New Roman" w:hAnsi="Times New Roman"/>
          <w:sz w:val="20"/>
          <w:szCs w:val="20"/>
          <w:color w:val="auto"/>
        </w:rPr>
      </w:pPr>
    </w:p>
    <w:p>
      <w:pPr>
        <w:jc w:val="both"/>
        <w:ind w:left="328" w:hanging="328"/>
        <w:spacing w:after="0" w:line="256" w:lineRule="auto"/>
        <w:tabs>
          <w:tab w:leader="none" w:pos="61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contained in mortgages, pledges, charges or other security agreements permitted under this Indenture or securing Indebtedness of the Company or a Restricted Subsidiary permitted under this Indenture to the extent such encumbrances or restrictions restrict the transfer of the property or assets subject to such mortgages, pledges, charges or other security agreements; or</w:t>
      </w:r>
    </w:p>
    <w:p>
      <w:pPr>
        <w:spacing w:after="0" w:line="176" w:lineRule="exact"/>
        <w:rPr>
          <w:rFonts w:ascii="Times New Roman" w:cs="Times New Roman" w:eastAsia="Times New Roman" w:hAnsi="Times New Roman"/>
          <w:sz w:val="20"/>
          <w:szCs w:val="20"/>
          <w:color w:val="auto"/>
        </w:rPr>
      </w:pPr>
    </w:p>
    <w:p>
      <w:pPr>
        <w:ind w:left="328" w:right="20" w:hanging="328"/>
        <w:spacing w:after="0" w:line="271" w:lineRule="auto"/>
        <w:tabs>
          <w:tab w:leader="none" w:pos="50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pursuant to customary provisions restricting dispositions of real property interests set forth in any reciprocal easement agreements of the Company or any Restricted Subsidiary;</w:t>
      </w:r>
    </w:p>
    <w:p>
      <w:pPr>
        <w:spacing w:after="0" w:line="171" w:lineRule="exact"/>
        <w:rPr>
          <w:rFonts w:ascii="Times New Roman" w:cs="Times New Roman" w:eastAsia="Times New Roman" w:hAnsi="Times New Roman"/>
          <w:sz w:val="20"/>
          <w:szCs w:val="20"/>
          <w:color w:val="auto"/>
        </w:rPr>
      </w:pPr>
    </w:p>
    <w:p>
      <w:pPr>
        <w:ind w:left="968" w:firstLine="652"/>
        <w:spacing w:after="0" w:line="271" w:lineRule="auto"/>
        <w:tabs>
          <w:tab w:leader="none" w:pos="2242" w:val="left"/>
        </w:tabs>
        <w:numPr>
          <w:ilvl w:val="2"/>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Purchase Money Obligations and Capitalized Lease Obligations permitted under this Indenture, in</w:t>
      </w:r>
    </w:p>
    <w:p>
      <w:pPr>
        <w:sectPr>
          <w:pgSz w:w="11900" w:h="16838" w:orient="portrait"/>
          <w:cols w:equalWidth="0" w:num="1">
            <w:col w:w="10908"/>
          </w:cols>
          <w:pgMar w:left="652" w:top="1422" w:right="339" w:bottom="1440" w:gutter="0" w:footer="0" w:header="0"/>
        </w:sectPr>
      </w:pPr>
    </w:p>
    <w:bookmarkStart w:id="105" w:name="page106"/>
    <w:bookmarkEnd w:id="105"/>
    <w:p>
      <w:pPr>
        <w:ind w:left="180"/>
        <w:spacing w:after="0" w:line="295" w:lineRule="auto"/>
        <w:rPr>
          <w:sz w:val="20"/>
          <w:szCs w:val="20"/>
          <w:color w:val="auto"/>
        </w:rPr>
      </w:pPr>
      <w:r>
        <w:rPr>
          <w:rFonts w:ascii="Times New Roman" w:cs="Times New Roman" w:eastAsia="Times New Roman" w:hAnsi="Times New Roman"/>
          <w:sz w:val="21"/>
          <w:szCs w:val="21"/>
          <w:color w:val="auto"/>
        </w:rPr>
        <w:t>each case, that impose encumbrances or restrictions on the property so acquired or any encumbrance or restriction pursuant to a joint venture agreement that imposes restrictions on the transfer of the assets of the joint venture;</w:t>
      </w:r>
    </w:p>
    <w:p>
      <w:pPr>
        <w:spacing w:after="0" w:line="135" w:lineRule="exact"/>
        <w:rPr>
          <w:sz w:val="20"/>
          <w:szCs w:val="20"/>
          <w:color w:val="auto"/>
        </w:rPr>
      </w:pPr>
    </w:p>
    <w:p>
      <w:pPr>
        <w:jc w:val="both"/>
        <w:ind w:left="180" w:firstLine="652"/>
        <w:spacing w:after="0" w:line="256" w:lineRule="auto"/>
        <w:tabs>
          <w:tab w:leader="none" w:pos="141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with respect to a Restricted Subsidiary (or any of its property or assets) imposed pursuant to an agreement entered into for the direct or indirect sale or disposition to a Person of all or substantially all the Capital Stock or assets of such Restricted Subsidiary (or the property or assets that are subject to such restriction) pending the closing of such sale or disposition;</w:t>
      </w:r>
    </w:p>
    <w:p>
      <w:pPr>
        <w:spacing w:after="0" w:line="176" w:lineRule="exact"/>
        <w:rPr>
          <w:rFonts w:ascii="Times New Roman" w:cs="Times New Roman" w:eastAsia="Times New Roman" w:hAnsi="Times New Roman"/>
          <w:sz w:val="22"/>
          <w:szCs w:val="22"/>
          <w:color w:val="auto"/>
        </w:rPr>
      </w:pPr>
    </w:p>
    <w:p>
      <w:pPr>
        <w:ind w:left="180" w:firstLine="652"/>
        <w:spacing w:after="0" w:line="271" w:lineRule="auto"/>
        <w:tabs>
          <w:tab w:leader="none" w:pos="141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leases, licenses, joint venture agreements, debt purchase agreements and other similar agreements and instruments entered into in the ordinary course of business;</w:t>
      </w:r>
    </w:p>
    <w:p>
      <w:pPr>
        <w:spacing w:after="0" w:line="171"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6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encumbrances or restrictions arising or existing by reason of applicable law or any applicable rule, regulation or order, the terms of any license, authorization, concession or permit or required by any regulatory authority;</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2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on cash or other deposits or net worth imposed by customers or suppliers or required by insurance, surety or bonding companies, in each case, under agreements entered into in the ordinary course of business;</w:t>
      </w:r>
    </w:p>
    <w:p>
      <w:pPr>
        <w:spacing w:after="0" w:line="186" w:lineRule="exact"/>
        <w:rPr>
          <w:rFonts w:ascii="Times New Roman" w:cs="Times New Roman" w:eastAsia="Times New Roman" w:hAnsi="Times New Roman"/>
          <w:sz w:val="22"/>
          <w:szCs w:val="22"/>
          <w:color w:val="auto"/>
        </w:rPr>
      </w:pPr>
    </w:p>
    <w:p>
      <w:pPr>
        <w:ind w:left="180" w:firstLine="652"/>
        <w:spacing w:after="0" w:line="271" w:lineRule="auto"/>
        <w:tabs>
          <w:tab w:leader="none" w:pos="15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pursuant to Currency Agreements, Interest Rate Agreements or Commodity Hedging Agreements;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49" w:lineRule="auto"/>
        <w:tabs>
          <w:tab w:leader="none" w:pos="15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arising pursuant to an agreement or instrument relating to any Indebtedness permitted to be Incurred subsequent to the Issue Date pursuant to Section 4.09 if (a) the encumbrances and restrictions contained in any such agreement or instrument taken as a whole are not materially less favorable to the Holders than (i) the encumbrances and restrictions contained in the Senior Facilities Agreement, together with the security documents associated therewith as in effect on the Issue Date or (ii) as is customary in comparable financings (as determined in good faith by the Company) or (b) the Company determines at the time such Indebtedness is Incurred that such encumbrances or restrictions will not adversely affect, in any material respect, the Company’s ability to make principal or interest payments on the Notes;</w:t>
      </w:r>
    </w:p>
    <w:p>
      <w:pPr>
        <w:spacing w:after="0" w:line="195"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605"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relating to Permitted Purchase Obligations SPVs effected in connection with the incurrence of Permitted Purchase Obligations that, in the good faith determination of the Board of Directors of the Company, are necessary or advisable;</w:t>
      </w:r>
    </w:p>
    <w:p>
      <w:pPr>
        <w:spacing w:after="0" w:line="172" w:lineRule="exact"/>
        <w:rPr>
          <w:rFonts w:ascii="Times New Roman" w:cs="Times New Roman" w:eastAsia="Times New Roman" w:hAnsi="Times New Roman"/>
          <w:sz w:val="22"/>
          <w:szCs w:val="22"/>
          <w:color w:val="auto"/>
        </w:rPr>
      </w:pPr>
    </w:p>
    <w:p>
      <w:pPr>
        <w:ind w:left="1400" w:hanging="568"/>
        <w:spacing w:after="0"/>
        <w:tabs>
          <w:tab w:leader="none" w:pos="140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existing by reason of any lien permitted under Section 4.12;</w:t>
      </w:r>
    </w:p>
    <w:p>
      <w:pPr>
        <w:sectPr>
          <w:pgSz w:w="11900" w:h="16838" w:orient="portrait"/>
          <w:cols w:equalWidth="0" w:num="1">
            <w:col w:w="10120"/>
          </w:cols>
          <w:pgMar w:left="1440" w:top="1422" w:right="339" w:bottom="1440" w:gutter="0" w:footer="0" w:header="0"/>
        </w:sectPr>
      </w:pPr>
    </w:p>
    <w:bookmarkStart w:id="106" w:name="page107"/>
    <w:bookmarkEnd w:id="106"/>
    <w:p>
      <w:pPr>
        <w:ind w:left="180" w:firstLine="652"/>
        <w:spacing w:after="0" w:line="271" w:lineRule="auto"/>
        <w:tabs>
          <w:tab w:leader="none" w:pos="14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encumbrance or restriction on assets held in trust for a third party, including pursuant to the relevant trust agreement; or</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49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encumbrance or restriction existing under any agreement that extends, renews, refinances or replaces the agreements containing the encumbrances or restrictions under Section 4.11(b)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and conditions of any such encumbrances or restrictions are, in the good faith judgment of the Board of Directors of the Company, no more restrictive in any material respect than those under or pursuant to the agreement so extended, renewed, refinanced or replaced.</w:t>
      </w:r>
    </w:p>
    <w:p>
      <w:pPr>
        <w:spacing w:after="0" w:line="179"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4.09.</w:t>
      </w:r>
      <w:r>
        <w:rPr>
          <w:sz w:val="20"/>
          <w:szCs w:val="20"/>
          <w:color w:val="auto"/>
        </w:rPr>
        <w:tab/>
      </w:r>
      <w:r>
        <w:rPr>
          <w:rFonts w:ascii="Times New Roman" w:cs="Times New Roman" w:eastAsia="Times New Roman" w:hAnsi="Times New Roman"/>
          <w:sz w:val="21"/>
          <w:szCs w:val="21"/>
          <w:u w:val="single" w:color="auto"/>
          <w:color w:val="auto"/>
        </w:rPr>
        <w:t>Limitation on Indebtedness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1120" w:firstLine="1304"/>
        <w:spacing w:after="0" w:line="252" w:lineRule="auto"/>
        <w:tabs>
          <w:tab w:leader="none" w:pos="706"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 and shall not permit any of its Restricted Subsidiaries to, Incur any Indebtedness (including Acquired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or a Guarantor may Incur Indebtedness if on the date of such Incurrence and after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thereto (including pro forma application of the proceeds thereof), the Fixed Charge Coverage Ratio for the Company and its Restricted Subsidiaries is greater than 2.0 to 1.0.</w:t>
      </w:r>
    </w:p>
    <w:p>
      <w:pPr>
        <w:spacing w:after="0" w:line="179" w:lineRule="exact"/>
        <w:rPr>
          <w:rFonts w:ascii="Times New Roman" w:cs="Times New Roman" w:eastAsia="Times New Roman" w:hAnsi="Times New Roman"/>
          <w:sz w:val="22"/>
          <w:szCs w:val="22"/>
          <w:color w:val="auto"/>
        </w:rPr>
      </w:pPr>
    </w:p>
    <w:p>
      <w:pPr>
        <w:ind w:left="660" w:hanging="476"/>
        <w:spacing w:after="0"/>
        <w:tabs>
          <w:tab w:leader="none" w:pos="6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4.09(a) shall not prohibit the Incurrence of the following Indebtedness: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65" w:lineRule="auto"/>
        <w:tabs>
          <w:tab w:leader="none" w:pos="1515" w:val="left"/>
        </w:tabs>
        <w:numPr>
          <w:ilvl w:val="2"/>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Incurred pursuant to any Credit Facility (including letters of credit or bankers’ acceptances issued or created under any Credit Facility), and any Refinancing Indebtedness in respect thereof and Guarantees in respect of such Indebtedness in a maximum aggregate principal amount at any time outstanding not exceeding (i) the greater of (x) $1,680.0 million and (y) 20.0% of ERC, plus (ii) in the case of any refinancing of any Indebtedness permitted under this Section 4.09(b)(1) or any portion thereof, the aggregate amount of fees, underwriting discounts, premiums and other costs and expenses Incurred in connection with such refinancing;</w:t>
      </w:r>
    </w:p>
    <w:p>
      <w:pPr>
        <w:spacing w:after="0" w:line="182" w:lineRule="exact"/>
        <w:rPr>
          <w:rFonts w:ascii="Times New Roman" w:cs="Times New Roman" w:eastAsia="Times New Roman" w:hAnsi="Times New Roman"/>
          <w:sz w:val="21"/>
          <w:szCs w:val="21"/>
          <w:color w:val="auto"/>
        </w:rPr>
      </w:pPr>
    </w:p>
    <w:p>
      <w:pPr>
        <w:jc w:val="both"/>
        <w:ind w:left="180" w:firstLine="652"/>
        <w:spacing w:after="0" w:line="250" w:lineRule="auto"/>
        <w:tabs>
          <w:tab w:leader="none" w:pos="1342" w:val="left"/>
        </w:tabs>
        <w:numPr>
          <w:ilvl w:val="2"/>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Guarantees by the Company or any Restricted Subsidiary of Indebtedness of the Company or any Restricted Subsidiary in each case so long as the Incurrence of such Indebtedness being guaranteed is permitted under the terms of this Indenture;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Indebtedness being guaranteed is subordinated to the Notes or Note Guarantee, then the guarantee must be subordinated to the Notes or Note Guarantee to the same extent as the Indebtedness guaranteed; or</w:t>
      </w:r>
    </w:p>
    <w:p>
      <w:pPr>
        <w:spacing w:after="0" w:line="194" w:lineRule="exact"/>
        <w:rPr>
          <w:rFonts w:ascii="Times New Roman" w:cs="Times New Roman" w:eastAsia="Times New Roman" w:hAnsi="Times New Roman"/>
          <w:sz w:val="22"/>
          <w:szCs w:val="22"/>
          <w:color w:val="auto"/>
        </w:rPr>
      </w:pPr>
    </w:p>
    <w:p>
      <w:pPr>
        <w:jc w:val="both"/>
        <w:ind w:left="260" w:firstLine="5"/>
        <w:spacing w:after="0" w:line="257" w:lineRule="auto"/>
        <w:tabs>
          <w:tab w:leader="none" w:pos="622"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Section 4.12, Indebtedness arising by reason of any Lien granted by or applicable to such Person securing Indebtedness of the Company or any Restricted Subsidiary so long as the Incurrence of such Indebtedness is permitted under the terms of this Indenture;</w:t>
      </w:r>
    </w:p>
    <w:p>
      <w:pPr>
        <w:sectPr>
          <w:pgSz w:w="11900" w:h="16838" w:orient="portrait"/>
          <w:cols w:equalWidth="0" w:num="1">
            <w:col w:w="10120"/>
          </w:cols>
          <w:pgMar w:left="1440" w:top="1422" w:right="339" w:bottom="1440" w:gutter="0" w:footer="0" w:header="0"/>
        </w:sectPr>
      </w:pPr>
    </w:p>
    <w:bookmarkStart w:id="107" w:name="page108"/>
    <w:bookmarkEnd w:id="107"/>
    <w:p>
      <w:pPr>
        <w:ind w:left="180" w:right="20" w:firstLine="652"/>
        <w:spacing w:after="0" w:line="271" w:lineRule="auto"/>
        <w:tabs>
          <w:tab w:leader="none" w:pos="13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the Company owing to and held by any Restricted Subsidiary or Indebtedness of a Restricted Subsidiary owing to and held by the Company or any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157" w:lineRule="exact"/>
        <w:rPr>
          <w:rFonts w:ascii="Times New Roman" w:cs="Times New Roman" w:eastAsia="Times New Roman" w:hAnsi="Times New Roman"/>
          <w:sz w:val="22"/>
          <w:szCs w:val="22"/>
          <w:color w:val="auto"/>
        </w:rPr>
      </w:pPr>
    </w:p>
    <w:p>
      <w:pPr>
        <w:jc w:val="both"/>
        <w:ind w:left="800" w:firstLine="642"/>
        <w:spacing w:after="0" w:line="253" w:lineRule="auto"/>
        <w:tabs>
          <w:tab w:leader="none" w:pos="2012"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any Guarantor is the obligor on any such Indebtedness and the obligee is not a Guarantor or the Company, it is either a Working Capital Intercompany Loan or unsecured and expressly subordinated in right of payment to prior payment in full in cash (whether upon Stated Maturity, acceleration or otherwise) and the performance in full of its obligations under the Notes or Note Guarantee, as applicable; and</w:t>
      </w:r>
    </w:p>
    <w:p>
      <w:pPr>
        <w:spacing w:after="0" w:line="178" w:lineRule="exact"/>
        <w:rPr>
          <w:rFonts w:ascii="Times New Roman" w:cs="Times New Roman" w:eastAsia="Times New Roman" w:hAnsi="Times New Roman"/>
          <w:sz w:val="22"/>
          <w:szCs w:val="22"/>
          <w:color w:val="auto"/>
        </w:rPr>
      </w:pPr>
    </w:p>
    <w:p>
      <w:pPr>
        <w:jc w:val="both"/>
        <w:ind w:left="800" w:firstLine="642"/>
        <w:spacing w:after="0" w:line="268" w:lineRule="auto"/>
        <w:tabs>
          <w:tab w:leader="none" w:pos="2003"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subsequent issuance or transfer of Capital Stock or any other event which results in any such Indebtedness being beneficially held by a Person other than the Company or a Restricted Subsidiary, and any sale or other transfer of any such Indebtedness to a Person other than the Company or a Restricted Subsidiary, shall be deemed, in each case, to constitute an Incurrence of such Indebtedness not permitted by this Section 4.09(b)(3) by the Company or such Restricted Subsidiary, as the case may be;</w:t>
      </w:r>
    </w:p>
    <w:p>
      <w:pPr>
        <w:spacing w:after="0" w:line="163" w:lineRule="exact"/>
        <w:rPr>
          <w:rFonts w:ascii="Times New Roman" w:cs="Times New Roman" w:eastAsia="Times New Roman" w:hAnsi="Times New Roman"/>
          <w:sz w:val="21"/>
          <w:szCs w:val="21"/>
          <w:color w:val="auto"/>
        </w:rPr>
      </w:pPr>
    </w:p>
    <w:p>
      <w:pPr>
        <w:jc w:val="both"/>
        <w:ind w:left="180" w:firstLine="652"/>
        <w:spacing w:after="0" w:line="251" w:lineRule="auto"/>
        <w:tabs>
          <w:tab w:leader="none" w:pos="135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represented by (A) the Notes (other than any Additional Notes), (B) any Indebtedness (other than Indebtedness described in Section 4.09(b)(1), 4.09(b)(3) or 4.09(b)(7)) outstanding on the Issue Date after giving </w:t>
      </w:r>
      <w:r>
        <w:rPr>
          <w:rFonts w:ascii="Times New Roman" w:cs="Times New Roman" w:eastAsia="Times New Roman" w:hAnsi="Times New Roman"/>
          <w:sz w:val="22"/>
          <w:szCs w:val="22"/>
          <w:i w:val="1"/>
          <w:iCs w:val="1"/>
          <w:color w:val="auto"/>
        </w:rPr>
        <w:t>pro forma</w:t>
      </w:r>
      <w:r>
        <w:rPr>
          <w:rFonts w:ascii="Times New Roman" w:cs="Times New Roman" w:eastAsia="Times New Roman" w:hAnsi="Times New Roman"/>
          <w:sz w:val="22"/>
          <w:szCs w:val="22"/>
          <w:color w:val="auto"/>
        </w:rPr>
        <w:t xml:space="preserve"> effect to the Transactions as if they had occurred on such date, including the Existing Secured Notes and the Existing Unsecured Notes, (C) Refinancing Indebtedness Incurred in respect of any Indebtedness described in this Section 4.09(b)(4) or Section 4.09(b)(5) or Incurred pursuant to Section 4.09(a), and (D) Management Advances;</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5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Person (i) outstanding on the date on which such Person becomes a Restricted Subsidiary or is merged, consolidated, amalgamated or otherwise combined with (including pursuant to any acquisition of assets and assumption of related liabilities) the Company or any Restricted Subsidiary or (ii) Incurred to provide all or any portion of the funds utilized to consummate the transaction or series of related transactions pursuant to which such Person became a Restricted Subsidiary or was otherwise acquired by the Company or a Restricted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with respect to this Section 4.09(b)(5), that at the time of such acquisition or other transaction (x) the Company would have been able to Incur $1.00 of additional Indebtedness pursuant to Section 4.09(a) after giving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to the relevant acquisition and Incurrence of such Indebtedness pursuant to this Section 4.09(b)(5) or (y) the Fixed Charge Coverage Ratio for the Company and its Restricted Subsidiaries would not be lower than it was immediately prior to giving effect to such acquisition or other transaction;</w:t>
      </w:r>
    </w:p>
    <w:p>
      <w:pPr>
        <w:sectPr>
          <w:pgSz w:w="11900" w:h="16838" w:orient="portrait"/>
          <w:cols w:equalWidth="0" w:num="1">
            <w:col w:w="10120"/>
          </w:cols>
          <w:pgMar w:left="1440" w:top="1422" w:right="339" w:bottom="1440" w:gutter="0" w:footer="0" w:header="0"/>
        </w:sectPr>
      </w:pPr>
    </w:p>
    <w:bookmarkStart w:id="108" w:name="page109"/>
    <w:bookmarkEnd w:id="108"/>
    <w:p>
      <w:pPr>
        <w:jc w:val="both"/>
        <w:ind w:left="180" w:firstLine="652"/>
        <w:spacing w:after="0" w:line="256" w:lineRule="auto"/>
        <w:tabs>
          <w:tab w:leader="none" w:pos="14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Currency Agreements, Interest Rate Agreements and Commodity Hedging Agreements entered into for bona fide hedging purposes of the Company or its Restricted Subsidiaries and not for speculative purposes (as determined in good faith by the Board of Directors or Senior Management of the Company);</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4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represented by Capitalized Lease Obligations or Purchase Money Obligations, in each case, Incurred for the purpose of financing all or any part of the purchase price, lease expense, rental payments or cost of design, construction, installation or improvement of property, plant or equipment or other assets (including Capital Stock) used in the business of the Company or any of its Restricted Subsidiaries, and in each case any Refinancing Indebtedness in respect thereof, in an aggregate outstanding principal amount which, when taken together with the principal amount of all other Indebtedness Incurred pursuant to this Section 4.09(b)(7) and then outstanding, will not exceed at any time outstanding the greater of (i) $215.0 million and (ii) 4.0% of Total Assets;</w:t>
      </w:r>
    </w:p>
    <w:p>
      <w:pPr>
        <w:spacing w:after="0" w:line="172" w:lineRule="exact"/>
        <w:rPr>
          <w:rFonts w:ascii="Times New Roman" w:cs="Times New Roman" w:eastAsia="Times New Roman" w:hAnsi="Times New Roman"/>
          <w:sz w:val="21"/>
          <w:szCs w:val="21"/>
          <w:color w:val="auto"/>
        </w:rPr>
      </w:pPr>
    </w:p>
    <w:p>
      <w:pPr>
        <w:jc w:val="both"/>
        <w:ind w:left="180" w:firstLine="652"/>
        <w:spacing w:after="0" w:line="248" w:lineRule="auto"/>
        <w:tabs>
          <w:tab w:leader="none" w:pos="166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 respect of (a) workers’ compensation claims, self-insurance obligations, performance, indemnity, surety, judgment, appeal, advance payment, customs, VAT or other tax or other guarantees or other similar bonds, instruments or obligations and completion guarantees and warranties provided by the Company or a Restricted Subsidiary or relating to liabilities, obligations, indemnities or guarantees Incurred in the ordinary course of business or for governmental or regulatory requirements, in each case not in connection with the borrowing of money, (b) letters of credit, bankers’ acceptances, guarantees or other similar instruments or obligations issued or relating to liabilities or obligations Incurred in the ordinary course of business, (c) the financing of insurance premiums in the ordinary course of business and (d) any customary cash management, cash pooling or netting or setting off arrangements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drawing of such letters of credit or other instrument, such obligations are reimbursed within 30 days following such drawing;</w:t>
      </w:r>
    </w:p>
    <w:p>
      <w:pPr>
        <w:spacing w:after="0" w:line="188" w:lineRule="exact"/>
        <w:rPr>
          <w:rFonts w:ascii="Times New Roman" w:cs="Times New Roman" w:eastAsia="Times New Roman" w:hAnsi="Times New Roman"/>
          <w:sz w:val="22"/>
          <w:szCs w:val="22"/>
          <w:color w:val="auto"/>
        </w:rPr>
      </w:pPr>
    </w:p>
    <w:p>
      <w:pPr>
        <w:jc w:val="both"/>
        <w:ind w:left="180" w:firstLine="652"/>
        <w:spacing w:after="0" w:line="262" w:lineRule="auto"/>
        <w:tabs>
          <w:tab w:leader="none" w:pos="1588"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arising from agreements providing for customary guarantees, indemnification, obligations in respect of earn-outs or other adjustments of purchase price or, in each case, similar obligations, in each case, Incurred or assumed in connection with the acquisition or disposition of any business or assets or Person or any Capital Stock of a Subsidiary (other than Guarantees of Indebtedness Incurred by any Person acquiring or disposing of such business or assets or such Subsidiary for the purpose of financing such acquisition or disposition);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case of a disposition, the maximum liability of the Company and its Restricted Subsidiaries in respect of all such Indebtedness shall at no time exceed the gross proceeds, including the fair market value of non-cash proceeds (measured at the time received and without giving effect to any</w:t>
      </w:r>
    </w:p>
    <w:p>
      <w:pPr>
        <w:sectPr>
          <w:pgSz w:w="11900" w:h="16838" w:orient="portrait"/>
          <w:cols w:equalWidth="0" w:num="1">
            <w:col w:w="10120"/>
          </w:cols>
          <w:pgMar w:left="1440" w:top="1422" w:right="339" w:bottom="1440" w:gutter="0" w:footer="0" w:header="0"/>
        </w:sectPr>
      </w:pPr>
    </w:p>
    <w:bookmarkStart w:id="109" w:name="page110"/>
    <w:bookmarkEnd w:id="109"/>
    <w:p>
      <w:pPr>
        <w:ind w:left="180" w:right="20"/>
        <w:spacing w:after="0" w:line="271" w:lineRule="auto"/>
        <w:rPr>
          <w:sz w:val="20"/>
          <w:szCs w:val="20"/>
          <w:color w:val="auto"/>
        </w:rPr>
      </w:pPr>
      <w:r>
        <w:rPr>
          <w:rFonts w:ascii="Times New Roman" w:cs="Times New Roman" w:eastAsia="Times New Roman" w:hAnsi="Times New Roman"/>
          <w:sz w:val="22"/>
          <w:szCs w:val="22"/>
          <w:color w:val="auto"/>
        </w:rPr>
        <w:t>subsequent changes in value), actually received by the Company and its Restricted Subsidiaries in connection with such disposition;</w:t>
      </w:r>
    </w:p>
    <w:p>
      <w:pPr>
        <w:spacing w:after="0" w:line="158" w:lineRule="exact"/>
        <w:rPr>
          <w:sz w:val="20"/>
          <w:szCs w:val="20"/>
          <w:color w:val="auto"/>
        </w:rPr>
      </w:pPr>
    </w:p>
    <w:p>
      <w:pPr>
        <w:jc w:val="both"/>
        <w:ind w:left="180" w:firstLine="652"/>
        <w:spacing w:after="0" w:line="250" w:lineRule="auto"/>
        <w:tabs>
          <w:tab w:leader="none" w:pos="145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Indebtedness is extinguished within five Business Days of Incurrence; (b) Customer deposits and advance payments received in the ordinary course of business from customers for goods purchased in the ordinary course of business; and (c) Indebtedness Incurred by a Restricted Subsidiary in connection with bankers’ acceptances, discounted bills of exchange or the discounting or factoring of Receivables for credit management purposes, in each case, not in connection with the borrowing of money and Incurred or undertaken in the ordinary course of business on arm’s length commercial terms;</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9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an aggregate outstanding principal amount which, when taken together with any Refinancing Indebtedness in respect thereof and the principal amount of all other Indebtedness Incurred pursuant to this Section 4.09(b)(11) and then outstanding, will not exceed the greater of (i) $380.0 million and (ii) 7.0% of Total Assets;</w:t>
      </w:r>
    </w:p>
    <w:p>
      <w:pPr>
        <w:spacing w:after="0" w:line="192" w:lineRule="exact"/>
        <w:rPr>
          <w:rFonts w:ascii="Times New Roman" w:cs="Times New Roman" w:eastAsia="Times New Roman" w:hAnsi="Times New Roman"/>
          <w:sz w:val="22"/>
          <w:szCs w:val="22"/>
          <w:color w:val="auto"/>
        </w:rPr>
      </w:pPr>
    </w:p>
    <w:p>
      <w:pPr>
        <w:ind w:left="1400" w:hanging="568"/>
        <w:spacing w:after="0"/>
        <w:tabs>
          <w:tab w:leader="none" w:pos="1400"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represented by Permitted Purchase Obligations;</w:t>
      </w:r>
    </w:p>
    <w:p>
      <w:pPr>
        <w:spacing w:after="0" w:line="219" w:lineRule="exact"/>
        <w:rPr>
          <w:rFonts w:ascii="Times New Roman" w:cs="Times New Roman" w:eastAsia="Times New Roman" w:hAnsi="Times New Roman"/>
          <w:sz w:val="22"/>
          <w:szCs w:val="22"/>
          <w:color w:val="auto"/>
        </w:rPr>
      </w:pPr>
    </w:p>
    <w:p>
      <w:pPr>
        <w:jc w:val="both"/>
        <w:ind w:left="180" w:firstLine="652"/>
        <w:spacing w:after="0" w:line="258" w:lineRule="auto"/>
        <w:tabs>
          <w:tab w:leader="none" w:pos="1498"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in an aggregate outstanding principal amount which, when taken together with any Refinancing Indebtedness in respect thereof and the principal amount of all other Indebtedness Incurred pursuant to this Section 4.09(b)(13) and then outstanding, will not exceed 100% of the Net Cash Proceeds received by the Company from the issuance or sale (other than to a Restricted Subsidiary) of its Subordinated Shareholder Funding or Capital Stock (other than Disqualified Stock, Designated Preference Shares or an Excluded Contribution) or otherwise contributed to the equity (other than through the issuance of Disqualified Stock, Designated Preference Shares or an Excluded Contribution) of the Company, in each case, subsequent to the Issue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any such Net Cash Proceeds that are so received or contributed shall be excluded for purposes of making Restricted Payments under Section 4.07(a) and Sections 4.07(b)(1), 4.07(b)(6), 4.07(b)(10) and 4.07(b)(14) to the extent the Company and its Restricted Subsidiaries incur Indebtedness in reliance thereon and (ii) any Net Cash Proceeds that are so received or contributed shall be excluded for purposes of Incurring Indebtedness pursuant to this Section 4.09(b)(13) to the extent the Company or any of its Restricted Subsidiaries makes a Restricted Payment under Section 4.07(a) and/or Sections 4.07(b)(1), 4.07(b)(6), 4.07(b)(10) or 4.07(b)</w:t>
      </w:r>
    </w:p>
    <w:p>
      <w:pPr>
        <w:spacing w:after="0" w:line="10" w:lineRule="exact"/>
        <w:rPr>
          <w:rFonts w:ascii="Times New Roman" w:cs="Times New Roman" w:eastAsia="Times New Roman" w:hAnsi="Times New Roman"/>
          <w:sz w:val="21"/>
          <w:szCs w:val="21"/>
          <w:color w:val="auto"/>
        </w:rPr>
      </w:pPr>
    </w:p>
    <w:p>
      <w:pPr>
        <w:ind w:left="600" w:hanging="416"/>
        <w:spacing w:after="0"/>
        <w:tabs>
          <w:tab w:leader="none" w:pos="60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reliance thereon; and</w:t>
      </w:r>
    </w:p>
    <w:p>
      <w:pPr>
        <w:spacing w:after="0" w:line="195"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448"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represented by the unpaid purchase price for portfolio assets acquired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amounts are due within one year of the acquisition of the related portfolio assets.</w:t>
      </w:r>
    </w:p>
    <w:p>
      <w:pPr>
        <w:sectPr>
          <w:pgSz w:w="11900" w:h="16838" w:orient="portrait"/>
          <w:cols w:equalWidth="0" w:num="1">
            <w:col w:w="10120"/>
          </w:cols>
          <w:pgMar w:left="1440" w:top="1422" w:right="339" w:bottom="1440" w:gutter="0" w:footer="0" w:header="0"/>
        </w:sectPr>
      </w:pPr>
    </w:p>
    <w:bookmarkStart w:id="110" w:name="page111"/>
    <w:bookmarkEnd w:id="110"/>
    <w:p>
      <w:pPr>
        <w:ind w:left="-1120" w:firstLine="1304"/>
        <w:spacing w:after="0" w:line="271" w:lineRule="auto"/>
        <w:tabs>
          <w:tab w:leader="none" w:pos="80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compliance with, and the outstanding principal amount of any particular Indebtedness Incurred pursuant to and in compliance with, this Section 4.09:</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36"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Indebtedness meets the criteria of more than one of the types of Indebtedness described in this Section 4.09, the Company, in its sole discretion, will classify, and may from time to time reclassify, such item of Indebtedness and will only be required to include the amount and type of such Indebtedness in one of the clauses of Section 4.09(b) or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Indebtedness Incurred pursuant to Section 4.09(b)(1) may not be reclassified, and Indebtedness under the Senior Facilities Agreement Incurred or outstanding on the Issue Date will be deemed to have been Incurred on such date in reliance on the exception provided in Section 4.09(b)(1);</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07"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5" w:lineRule="auto"/>
        <w:tabs>
          <w:tab w:leader="none" w:pos="1404"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obligations in respect of letters of credit, bankers’ acceptances or other similar instruments are Incurred pursuant to any Credit Facility and are being treated as Incurred pursuant to Section 4.09(b)(1), 4.09(b)</w:t>
      </w:r>
    </w:p>
    <w:p>
      <w:pPr>
        <w:spacing w:after="0" w:line="1" w:lineRule="exact"/>
        <w:rPr>
          <w:rFonts w:ascii="Times New Roman" w:cs="Times New Roman" w:eastAsia="Times New Roman" w:hAnsi="Times New Roman"/>
          <w:sz w:val="22"/>
          <w:szCs w:val="22"/>
          <w:color w:val="auto"/>
        </w:rPr>
      </w:pPr>
    </w:p>
    <w:p>
      <w:pPr>
        <w:ind w:left="180" w:right="20"/>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 or 4.09(b)(11) or Section 4.09(a) and the letters of credit, bankers’ acceptances or other similar instruments relate to other Indebtedness, then such other Indebtedness shall not be included;</w:t>
      </w:r>
    </w:p>
    <w:p>
      <w:pPr>
        <w:spacing w:after="0" w:line="170"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46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361"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determining “ERC” under Section 4.09(b)(1)(i)(y), (i) </w:t>
      </w:r>
      <w:r>
        <w:rPr>
          <w:rFonts w:ascii="Times New Roman" w:cs="Times New Roman" w:eastAsia="Times New Roman" w:hAnsi="Times New Roman"/>
          <w:sz w:val="22"/>
          <w:szCs w:val="22"/>
          <w:u w:val="single" w:color="auto"/>
          <w:color w:val="auto"/>
        </w:rPr>
        <w:t>pro forma</w:t>
      </w:r>
      <w:r>
        <w:rPr>
          <w:rFonts w:ascii="Times New Roman" w:cs="Times New Roman" w:eastAsia="Times New Roman" w:hAnsi="Times New Roman"/>
          <w:sz w:val="22"/>
          <w:szCs w:val="22"/>
          <w:color w:val="auto"/>
        </w:rPr>
        <w:t xml:space="preserve"> effect shall be given to ERC on the same basis as for calculating the LTV Ratio for the Company and its Restricted Subsidiaries and (ii) ERC shall be measured on or about the date on which the Company obtains new commitments (in the case of revolving facilities) or incurs new Indebtedness (in the case of term facilities);</w:t>
      </w:r>
    </w:p>
    <w:p>
      <w:pPr>
        <w:spacing w:after="0" w:line="192"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479"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permitted by this Section 4.09 need not be permitted solely by reference to one provision permitting such Indebtedness but may be permitted in part by one such provision and in part by one or more other provisions of this Section 4.09 permitting such Indebtedness; and</w:t>
      </w:r>
    </w:p>
    <w:p>
      <w:pPr>
        <w:sectPr>
          <w:pgSz w:w="11900" w:h="16838" w:orient="portrait"/>
          <w:cols w:equalWidth="0" w:num="1">
            <w:col w:w="10120"/>
          </w:cols>
          <w:pgMar w:left="1440" w:top="1422" w:right="339" w:bottom="1440" w:gutter="0" w:footer="0" w:header="0"/>
        </w:sectPr>
      </w:pPr>
    </w:p>
    <w:bookmarkStart w:id="111" w:name="page112"/>
    <w:bookmarkEnd w:id="111"/>
    <w:p>
      <w:pPr>
        <w:ind w:left="180" w:firstLine="652"/>
        <w:spacing w:after="0" w:line="271" w:lineRule="auto"/>
        <w:tabs>
          <w:tab w:leader="none" w:pos="1383"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Indebtedness issued at a price that is less than the principal amount thereof will be equal to the amount of the liability in respect thereof determined on the basis of GAAP.</w:t>
      </w:r>
    </w:p>
    <w:p>
      <w:pPr>
        <w:spacing w:after="0" w:line="157"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72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Section 4.09. The amount of any Indebtedness outstanding as of any date shall be calculated as specified under the definition of “Indebtedness”.</w:t>
      </w:r>
    </w:p>
    <w:p>
      <w:pPr>
        <w:spacing w:after="0" w:line="194" w:lineRule="exact"/>
        <w:rPr>
          <w:rFonts w:ascii="Times New Roman" w:cs="Times New Roman" w:eastAsia="Times New Roman" w:hAnsi="Times New Roman"/>
          <w:sz w:val="22"/>
          <w:szCs w:val="22"/>
          <w:color w:val="auto"/>
        </w:rPr>
      </w:pPr>
    </w:p>
    <w:p>
      <w:pPr>
        <w:jc w:val="both"/>
        <w:ind w:left="-1120" w:firstLine="1304"/>
        <w:spacing w:after="0" w:line="257" w:lineRule="auto"/>
        <w:tabs>
          <w:tab w:leader="none" w:pos="81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4.09, the Company shall be in default under this Section 4.09).</w:t>
      </w:r>
    </w:p>
    <w:p>
      <w:pPr>
        <w:spacing w:after="0" w:line="172" w:lineRule="exact"/>
        <w:rPr>
          <w:rFonts w:ascii="Times New Roman" w:cs="Times New Roman" w:eastAsia="Times New Roman" w:hAnsi="Times New Roman"/>
          <w:sz w:val="22"/>
          <w:szCs w:val="22"/>
          <w:color w:val="auto"/>
        </w:rPr>
      </w:pPr>
    </w:p>
    <w:p>
      <w:pPr>
        <w:jc w:val="both"/>
        <w:ind w:left="-1120" w:firstLine="1304"/>
        <w:spacing w:after="0" w:line="247" w:lineRule="auto"/>
        <w:tabs>
          <w:tab w:leader="none" w:pos="67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compliance with any U.S. dollar-denominated restriction on the Incurrence of Indebtedness, the Dollar Equivalent of the principal amount of Indebtedness denominated in another currency shall be calculated based on the relevant currency exchange rate in effect on the date such Indebtedness was Incurred, in the case of term Indebtedness, or, at the option of the Company, first committed, in the case of Indebtedness Incurred under a revolving credit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such Indebtedness is Incurred to refinance other Indebtedness denominated in a currency other than U.S. dollar,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(ii) the Dollar Equivalent of the principal amount of any such Indebtedness outstanding on the Issue Date shall be calculated based on the relevant currency exchange rate in effect on the Issue Date; and (iii) if and for so long as any such Indebtedness is subject to a Currency Agreement with respect to the currency in which such Indebtedness is denominated covering principal and interest on such Indebtedness, the amount of such Indebtedness, if denominated in U.S. dollar, will be the amount of the principal payment required to be made under such Currency Agreement and, otherwise, the Dollar Equivalent of such amount plus the Dollar Equivalent of any premium which is at such time due and payable but is not covered by such Currency Agreement. For purposes of calculating compliance with Section 4.09(b)(1) or for calculating the amount of Indebtedness outstanding under the Senior Facilities Agreement, to the extent a Credit Facility is utilized for the purpose of guaranteeing or cash collateralizing any letter of credit or guarantee, such guarantee or collateralization and issuance of such letter of credit or guarantee shall be deemed to be a utilization of such Credit Facility permitted under Section 4.09(b)(1) without double counting.</w:t>
      </w:r>
    </w:p>
    <w:p>
      <w:pPr>
        <w:spacing w:after="0" w:line="196" w:lineRule="exact"/>
        <w:rPr>
          <w:rFonts w:ascii="Times New Roman" w:cs="Times New Roman" w:eastAsia="Times New Roman" w:hAnsi="Times New Roman"/>
          <w:sz w:val="22"/>
          <w:szCs w:val="22"/>
          <w:color w:val="auto"/>
        </w:rPr>
      </w:pPr>
    </w:p>
    <w:p>
      <w:pPr>
        <w:ind w:left="-1120" w:firstLine="1304"/>
        <w:spacing w:after="0" w:line="271" w:lineRule="auto"/>
        <w:tabs>
          <w:tab w:leader="none" w:pos="74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Section 4.09, the maximum amount of Indebtedness that the Company or a Restricted Subsidiary may Incur pursuant to this</w:t>
      </w:r>
    </w:p>
    <w:p>
      <w:pPr>
        <w:sectPr>
          <w:pgSz w:w="11900" w:h="16838" w:orient="portrait"/>
          <w:cols w:equalWidth="0" w:num="1">
            <w:col w:w="10120"/>
          </w:cols>
          <w:pgMar w:left="1440" w:top="1422" w:right="339" w:bottom="1440" w:gutter="0" w:footer="0" w:header="0"/>
        </w:sectPr>
      </w:pPr>
    </w:p>
    <w:bookmarkStart w:id="112" w:name="page113"/>
    <w:bookmarkEnd w:id="112"/>
    <w:p>
      <w:pPr>
        <w:jc w:val="both"/>
        <w:spacing w:after="0" w:line="256" w:lineRule="auto"/>
        <w:rPr>
          <w:sz w:val="20"/>
          <w:szCs w:val="20"/>
          <w:color w:val="auto"/>
        </w:rPr>
      </w:pPr>
      <w:r>
        <w:rPr>
          <w:rFonts w:ascii="Times New Roman" w:cs="Times New Roman" w:eastAsia="Times New Roman" w:hAnsi="Times New Roman"/>
          <w:sz w:val="22"/>
          <w:szCs w:val="22"/>
          <w:color w:val="auto"/>
        </w:rPr>
        <w:t>Section 4.09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4.10.</w:t>
      </w:r>
      <w:r>
        <w:rPr>
          <w:sz w:val="20"/>
          <w:szCs w:val="20"/>
          <w:color w:val="auto"/>
        </w:rPr>
        <w:tab/>
      </w:r>
      <w:r>
        <w:rPr>
          <w:rFonts w:ascii="Times New Roman" w:cs="Times New Roman" w:eastAsia="Times New Roman" w:hAnsi="Times New Roman"/>
          <w:sz w:val="21"/>
          <w:szCs w:val="21"/>
          <w:u w:val="single" w:color="auto"/>
          <w:color w:val="auto"/>
        </w:rPr>
        <w:t>Limitation on Sales of Assets and Subsidiary Stock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60" w:hanging="656"/>
        <w:spacing w:after="0"/>
        <w:tabs>
          <w:tab w:leader="none" w:pos="19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not permit any of its Restricted Subsidiaries to, make any Asset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Disposition unless:</w:t>
      </w:r>
    </w:p>
    <w:p>
      <w:pPr>
        <w:spacing w:after="0" w:line="195"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43"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Board of Directors of the Company, of the shares and assets subject to such Asset Disposition (including, for the avoidance of doubt, if such Asset Disposition is a Permitted Asset Swap);</w:t>
      </w:r>
    </w:p>
    <w:p>
      <w:pPr>
        <w:spacing w:after="0" w:line="181"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56"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such Asset Disposition, or series of related Asset Dispositions (except to the extent the Asset Disposition is a Permitted Asset Swap), at least 75% of the consideration from such Asset Disposition (excluding any consideration by way of relief from, or by any other Person assuming responsibility for, any liabilities, contingent or otherwise, other than Indebtedness) received by the Company or such Restricted Subsidiary, as the case may be, is in the form of cash, Cash Equivalents or Temporary Cash Investments; and</w:t>
      </w:r>
    </w:p>
    <w:p>
      <w:pPr>
        <w:spacing w:after="0" w:line="178"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480"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100% of the Net Available Cash from such Asset Disposition is applied by the Company or such Restricted Subsidiary, as the case may be:</w:t>
      </w:r>
    </w:p>
    <w:p>
      <w:pPr>
        <w:spacing w:after="0" w:line="143" w:lineRule="exact"/>
        <w:rPr>
          <w:rFonts w:ascii="Times New Roman" w:cs="Times New Roman" w:eastAsia="Times New Roman" w:hAnsi="Times New Roman"/>
          <w:sz w:val="22"/>
          <w:szCs w:val="22"/>
          <w:color w:val="auto"/>
        </w:rPr>
      </w:pPr>
    </w:p>
    <w:p>
      <w:pPr>
        <w:jc w:val="both"/>
        <w:ind w:left="1920" w:firstLine="642"/>
        <w:spacing w:after="0" w:line="261" w:lineRule="auto"/>
        <w:tabs>
          <w:tab w:leader="none" w:pos="3197" w:val="left"/>
        </w:tabs>
        <w:numPr>
          <w:ilvl w:val="2"/>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Company or any Restricted Subsidiary, as the case may be, elects (or is required by the terms of any Indebtedness of a Restricted Subsidiary), (i) to prepay, repay or purchase any Indebtedness of a Restricted Subsidiary that is not a Guarantor (in each case, other than Indebtedness owed to the Company or any Restricted Subsidiary or Indebtedness under the Senior Facilities Agreement (or any Refinancing Indebtedness in respect thereof) within 365 days from the later of (x) the date of such Asset Disposition and (y) the receipt of such Net Available Cash; or (ii) to prepay, repay or purchase Pari Passu Indebtedness at a price of no more than 100% of the principal amount of such Pari Passu Indebtedness plus accrued and unpaid interest to the date of such prepayment, repayment or purchase within 365 days from the later of (A) the date of such Asset Disposition and (B) the receipt of such Net</w:t>
      </w:r>
    </w:p>
    <w:p>
      <w:pPr>
        <w:sectPr>
          <w:pgSz w:w="11900" w:h="16838" w:orient="portrait"/>
          <w:cols w:equalWidth="0" w:num="1">
            <w:col w:w="11240"/>
          </w:cols>
          <w:pgMar w:left="320" w:top="1422" w:right="339" w:bottom="1440" w:gutter="0" w:footer="0" w:header="0"/>
        </w:sectPr>
      </w:pPr>
    </w:p>
    <w:bookmarkStart w:id="113" w:name="page114"/>
    <w:bookmarkEnd w:id="113"/>
    <w:p>
      <w:pPr>
        <w:jc w:val="both"/>
        <w:ind w:left="800"/>
        <w:spacing w:after="0" w:line="250" w:lineRule="auto"/>
        <w:rPr>
          <w:sz w:val="20"/>
          <w:szCs w:val="20"/>
          <w:color w:val="auto"/>
        </w:rPr>
      </w:pPr>
      <w:r>
        <w:rPr>
          <w:rFonts w:ascii="Times New Roman" w:cs="Times New Roman" w:eastAsia="Times New Roman" w:hAnsi="Times New Roman"/>
          <w:sz w:val="22"/>
          <w:szCs w:val="22"/>
          <w:color w:val="auto"/>
        </w:rPr>
        <w:t xml:space="preserve">Available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or a Restricted Subsidiary shall redeem, repay or repurchase Pari Passu Indebtedness pursuant to this clause (ii) only if the Company makes (at such time or subsequently in compliance with this Section 4.10) an offer to the Holders to purchase their Notes in accordance with the provisions set forth below for an Asset Disposition Offer for an aggregate principal amount of Notes at least equal to the proportion that (x) the total aggregate principal amount of Notes outstanding bears to (y) the sum of the total aggregate principal amount of Notes outstanding plus the total aggregate principal amount outstanding of such Pari Passu Indebtedness; or</w:t>
      </w:r>
    </w:p>
    <w:p>
      <w:pPr>
        <w:spacing w:after="0" w:line="180" w:lineRule="exact"/>
        <w:rPr>
          <w:sz w:val="20"/>
          <w:szCs w:val="20"/>
          <w:color w:val="auto"/>
        </w:rPr>
      </w:pPr>
    </w:p>
    <w:p>
      <w:pPr>
        <w:jc w:val="both"/>
        <w:ind w:left="800" w:firstLine="642"/>
        <w:spacing w:after="0" w:line="242" w:lineRule="auto"/>
        <w:tabs>
          <w:tab w:leader="none" w:pos="206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 Company or such Restricted Subsidiary elects, to invest in or commit to invest in Additional Assets (including by means of an investment in Additional Assets by a Restricted Subsidiary with Net Available Cash received by the Company or another Restricted Subsidiary) within 365 days from the later of (i) the date of such Asset Disposition and (ii) the receipt of such Net Available Cash;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such reinvestment in Additional Assets made pursuant to a definitive binding agreement or a commitment approved by the Board of Directors of the Company that is executed or approved within such time will satisfy this requirement, so long as such investment is consummated within 180 days of such </w:t>
      </w:r>
      <w:r>
        <w:rPr>
          <w:rFonts w:ascii="Times New Roman" w:cs="Times New Roman" w:eastAsia="Times New Roman" w:hAnsi="Times New Roman"/>
          <w:sz w:val="28"/>
          <w:szCs w:val="28"/>
          <w:color w:val="auto"/>
          <w:vertAlign w:val="superscript"/>
        </w:rPr>
        <w:t>36</w:t>
      </w:r>
      <w:r>
        <w:rPr>
          <w:rFonts w:ascii="Times New Roman" w:cs="Times New Roman" w:eastAsia="Times New Roman" w:hAnsi="Times New Roman"/>
          <w:sz w:val="22"/>
          <w:szCs w:val="22"/>
          <w:color w:val="auto"/>
        </w:rPr>
        <w:t xml:space="preserve">5th day;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the assets (including Capital Stock) sold constitute Collateral, subject to the Agreed Security Principles, the Company shall pledge or shall cause the applicable Restricted Subsidiary to pledge any acquired Additional Assets (to the extent such assets (including Capital Stock) were of a category of assets included in the Collateral as of the Issue Date) in favor of the Notes on a first-ranking basis (subject to pre-existing Liens and Permitted Collateral Liens),</w:t>
      </w:r>
    </w:p>
    <w:p>
      <w:pPr>
        <w:spacing w:after="0" w:line="204" w:lineRule="exact"/>
        <w:rPr>
          <w:sz w:val="20"/>
          <w:szCs w:val="20"/>
          <w:color w:val="auto"/>
        </w:rPr>
      </w:pPr>
    </w:p>
    <w:p>
      <w:pPr>
        <w:jc w:val="both"/>
        <w:ind w:left="180"/>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pending the final application of any such Net Available Cash in accordance with clause (A) or clause (B) above, the Company and its Restricted Subsidiaries may temporarily reduce Indebtedness or otherwise invest such Net Available Cash in any manner not prohibited by this Indenture.</w:t>
      </w:r>
    </w:p>
    <w:p>
      <w:pPr>
        <w:spacing w:after="0" w:line="173" w:lineRule="exact"/>
        <w:rPr>
          <w:sz w:val="20"/>
          <w:szCs w:val="20"/>
          <w:color w:val="auto"/>
        </w:rPr>
      </w:pPr>
    </w:p>
    <w:p>
      <w:pPr>
        <w:jc w:val="both"/>
        <w:ind w:left="-1120" w:firstLine="1304"/>
        <w:spacing w:after="0" w:line="249" w:lineRule="auto"/>
        <w:tabs>
          <w:tab w:leader="none" w:pos="63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Net Available Cash from Asset Dispositions that is not applied or invested or committed to be applied or invested as provided in the preceding paragraph, or offered to be applied in accordance with Section 4.10(a)(3)(A)(ii) above, will be deemed to constitute “</w:t>
      </w:r>
      <w:r>
        <w:rPr>
          <w:rFonts w:ascii="Times New Roman" w:cs="Times New Roman" w:eastAsia="Times New Roman" w:hAnsi="Times New Roman"/>
          <w:sz w:val="22"/>
          <w:szCs w:val="22"/>
          <w:u w:val="single" w:color="auto"/>
          <w:color w:val="auto"/>
        </w:rPr>
        <w:t>Excess Proceeds</w:t>
      </w:r>
      <w:r>
        <w:rPr>
          <w:rFonts w:ascii="Times New Roman" w:cs="Times New Roman" w:eastAsia="Times New Roman" w:hAnsi="Times New Roman"/>
          <w:sz w:val="22"/>
          <w:szCs w:val="22"/>
          <w:color w:val="auto"/>
        </w:rPr>
        <w:t>”. On the 366th day after an Asset Disposition, or at such earlier date that the Company elects, if the aggregate amount of Excess Proceeds exceeds $50.0 million (or equivalent thereof), the Company or another Restricted Subsidiary shall be required to make an offer (“</w:t>
      </w:r>
      <w:r>
        <w:rPr>
          <w:rFonts w:ascii="Times New Roman" w:cs="Times New Roman" w:eastAsia="Times New Roman" w:hAnsi="Times New Roman"/>
          <w:sz w:val="22"/>
          <w:szCs w:val="22"/>
          <w:u w:val="single" w:color="auto"/>
          <w:color w:val="auto"/>
        </w:rPr>
        <w:t>Asset Disposition Offer</w:t>
      </w:r>
      <w:r>
        <w:rPr>
          <w:rFonts w:ascii="Times New Roman" w:cs="Times New Roman" w:eastAsia="Times New Roman" w:hAnsi="Times New Roman"/>
          <w:sz w:val="22"/>
          <w:szCs w:val="22"/>
          <w:color w:val="auto"/>
        </w:rPr>
        <w:t>”) to all Holders and, to the extent the Company or such Restricted Subsidiary elects, to all holders of other outstanding Pari Passu Indebtedness, to purchase the maximum principal amount of Notes and any such Pari Passu Indebtedness to which the Asset Disposition Offer applies that may be purchased out of the Excess Proceeds, at</w:t>
      </w:r>
    </w:p>
    <w:p>
      <w:pPr>
        <w:sectPr>
          <w:pgSz w:w="11900" w:h="16838" w:orient="portrait"/>
          <w:cols w:equalWidth="0" w:num="1">
            <w:col w:w="10120"/>
          </w:cols>
          <w:pgMar w:left="1440" w:top="1422" w:right="339" w:bottom="1440" w:gutter="0" w:footer="0" w:header="0"/>
        </w:sectPr>
      </w:pPr>
    </w:p>
    <w:bookmarkStart w:id="114" w:name="page115"/>
    <w:bookmarkEnd w:id="114"/>
    <w:p>
      <w:pPr>
        <w:jc w:val="both"/>
        <w:spacing w:after="0" w:line="253" w:lineRule="auto"/>
        <w:rPr>
          <w:sz w:val="20"/>
          <w:szCs w:val="20"/>
          <w:color w:val="auto"/>
        </w:rPr>
      </w:pPr>
      <w:r>
        <w:rPr>
          <w:rFonts w:ascii="Times New Roman" w:cs="Times New Roman" w:eastAsia="Times New Roman" w:hAnsi="Times New Roman"/>
          <w:sz w:val="22"/>
          <w:szCs w:val="22"/>
          <w:color w:val="auto"/>
        </w:rPr>
        <w:t>an offer price in respect of the Notes in an amount equal to (and, in the case of any Pari Passu Indebtedness, an offer price of no more than) 100% of the principal amount of the Notes and 100% of the principal amount of Pari Passu Indebtedness, in each case, plus accrued and unpaid interest, if any, to, but not including, the date of purchase, in accordance with Section 3.09 or the agreements governing the Pari Passu Indebtedness, as applicable, and in minimum denominations of $200,000 and in integral multiples of $1,000 in excess thereof.</w:t>
      </w:r>
    </w:p>
    <w:p>
      <w:pPr>
        <w:spacing w:after="0" w:line="179" w:lineRule="exact"/>
        <w:rPr>
          <w:sz w:val="20"/>
          <w:szCs w:val="20"/>
          <w:color w:val="auto"/>
        </w:rPr>
      </w:pPr>
    </w:p>
    <w:p>
      <w:pPr>
        <w:jc w:val="both"/>
        <w:ind w:firstLine="1304"/>
        <w:spacing w:after="0" w:line="262" w:lineRule="auto"/>
        <w:tabs>
          <w:tab w:leader="none" w:pos="182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the aggregate amount of Notes and Pari Passu Indebtedness so validly tendered and not properly withdrawn pursuant to an Asset Disposition Offer is less than the Excess Proceeds, the Company may use any remaining Excess Proceeds for general corporate purposes, subject to other covenants contained in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For the purposes of calculating the principal amount of any such Indebtedness not denominated in U.S. dollars, such Indebtedness shall be calculated by converting any such principal amount into its Dollar Equivalent determined as of a date selected by the Company that is within the Asset Disposition Offer Period (as defined below). Upon completion of any Asset Disposition Offer, the amount of Excess Proceeds shall be reset at zero.</w:t>
      </w:r>
    </w:p>
    <w:p>
      <w:pPr>
        <w:spacing w:after="0" w:line="171"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47"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portion of Net Available Cash payable in respect of the Notes is denominated in a currency other than U.S. dollars, the amount thereof payable in respect of the Notes shall not exceed the net amount of funds in U.S. dollars that is actually received by the Company upon converting such portion into U.S. dollars.</w:t>
      </w:r>
    </w:p>
    <w:p>
      <w:pPr>
        <w:spacing w:after="0" w:line="17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8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Asset Disposition Offer, insofar as it relates to the Notes, will remain open for a period of not less than 20 Business Days following its commencement (the “</w:t>
      </w:r>
      <w:r>
        <w:rPr>
          <w:rFonts w:ascii="Times New Roman" w:cs="Times New Roman" w:eastAsia="Times New Roman" w:hAnsi="Times New Roman"/>
          <w:sz w:val="22"/>
          <w:szCs w:val="22"/>
          <w:u w:val="single" w:color="auto"/>
          <w:color w:val="auto"/>
        </w:rPr>
        <w:t>Asset Disposition Offer Period</w:t>
      </w:r>
      <w:r>
        <w:rPr>
          <w:rFonts w:ascii="Times New Roman" w:cs="Times New Roman" w:eastAsia="Times New Roman" w:hAnsi="Times New Roman"/>
          <w:sz w:val="22"/>
          <w:szCs w:val="22"/>
          <w:color w:val="auto"/>
        </w:rPr>
        <w:t>”). No later than five Business Days after the termination of the Asset Disposition Offer Period (the “</w:t>
      </w:r>
      <w:r>
        <w:rPr>
          <w:rFonts w:ascii="Times New Roman" w:cs="Times New Roman" w:eastAsia="Times New Roman" w:hAnsi="Times New Roman"/>
          <w:sz w:val="22"/>
          <w:szCs w:val="22"/>
          <w:u w:val="single" w:color="auto"/>
          <w:color w:val="auto"/>
        </w:rPr>
        <w:t>Asset Disposition Purchase Date</w:t>
      </w:r>
      <w:r>
        <w:rPr>
          <w:rFonts w:ascii="Times New Roman" w:cs="Times New Roman" w:eastAsia="Times New Roman" w:hAnsi="Times New Roman"/>
          <w:sz w:val="22"/>
          <w:szCs w:val="22"/>
          <w:color w:val="auto"/>
        </w:rPr>
        <w:t>”), the Company or another Restricted Subsidiary, as applicable, shall purchase the principal amount of Notes and, to the extent they elect, Pari Passu Indebtedness required to be purchased pursuant to this Section 4.10 (the “</w:t>
      </w:r>
      <w:r>
        <w:rPr>
          <w:rFonts w:ascii="Times New Roman" w:cs="Times New Roman" w:eastAsia="Times New Roman" w:hAnsi="Times New Roman"/>
          <w:sz w:val="22"/>
          <w:szCs w:val="22"/>
          <w:u w:val="single" w:color="auto"/>
          <w:color w:val="auto"/>
        </w:rPr>
        <w:t>Asset Disposition Offer Amount</w:t>
      </w:r>
      <w:r>
        <w:rPr>
          <w:rFonts w:ascii="Times New Roman" w:cs="Times New Roman" w:eastAsia="Times New Roman" w:hAnsi="Times New Roman"/>
          <w:sz w:val="22"/>
          <w:szCs w:val="22"/>
          <w:color w:val="auto"/>
        </w:rPr>
        <w:t>”) or, if less than the Asset Disposition Offer Amount has been so validly tendered, all Notes and Pari Passu Indebtedness validly tendered in response to the Asset Disposition Offer.</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Section 4.10(a)(2) the following (or any combination thereof) will be deemed to be cash:</w:t>
      </w:r>
    </w:p>
    <w:p>
      <w:pPr>
        <w:spacing w:after="0" w:line="231" w:lineRule="exact"/>
        <w:rPr>
          <w:rFonts w:ascii="Times New Roman" w:cs="Times New Roman" w:eastAsia="Times New Roman" w:hAnsi="Times New Roman"/>
          <w:sz w:val="21"/>
          <w:szCs w:val="21"/>
          <w:color w:val="auto"/>
        </w:rPr>
      </w:pPr>
    </w:p>
    <w:p>
      <w:pPr>
        <w:jc w:val="both"/>
        <w:ind w:left="1300" w:firstLine="652"/>
        <w:spacing w:after="0" w:line="275" w:lineRule="auto"/>
        <w:tabs>
          <w:tab w:leader="none" w:pos="2512"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assumption by the transferee of Indebtedness of the Company or Indebtedness of a Restricted Subsidiary (other than Subordinated Indebtedness of the Company or a Guarantor) and the release of the Company or such Restricted Subsidiary from all liability on such Indebtedness in connection with such Asset Disposition;</w:t>
      </w:r>
    </w:p>
    <w:p>
      <w:pPr>
        <w:sectPr>
          <w:pgSz w:w="11900" w:h="16838" w:orient="portrait"/>
          <w:cols w:equalWidth="0" w:num="1">
            <w:col w:w="11240"/>
          </w:cols>
          <w:pgMar w:left="320" w:top="1422" w:right="339" w:bottom="1440" w:gutter="0" w:footer="0" w:header="0"/>
        </w:sectPr>
      </w:pPr>
    </w:p>
    <w:bookmarkStart w:id="115" w:name="page116"/>
    <w:bookmarkEnd w:id="115"/>
    <w:p>
      <w:pPr>
        <w:jc w:val="both"/>
        <w:ind w:left="180" w:firstLine="652"/>
        <w:spacing w:after="0" w:line="257" w:lineRule="auto"/>
        <w:tabs>
          <w:tab w:leader="none" w:pos="1323"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notes or other obligations received by the Company or any Restricted Subsidiary from the transferee that are converted by the Company or such Restricted Subsidiary into cash or Cash Equivalents within 180 days following the closing of such Asset Disposition;</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09"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Restricted Subsidiary that is no longer a Restricted Subsidiary as a result of such Asset Disposition, to the extent that the Company and each other Restricted Subsidiary are released from any Guarantee of payment of such Indebtedness in connection with such Asset Disposition;</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26"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consideration consisting of Indebtedness of the Company or any Guarantor (other than Subordinated Indebtedness) received after the Issue Date from Persons who are not the Company or any Restricted Subsidiary; and</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65" w:lineRule="auto"/>
        <w:tabs>
          <w:tab w:leader="none" w:pos="1367"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Designated Non-Cash Consideration received by the Company or any Restricted Subsidiary in such Asset Dispositions having an aggregate fair market value, taken together with all other Designated Non-Cash Consideration received pursuant to this Section 4.10 that is at that time outstanding, not to exceed the greater of $160.0 million and 3.0% of Total Assets (with the fair market value of each item of Designated Non-Cash Consideration being measured at the time received and without giving effect to subsequent changes in value).</w:t>
      </w:r>
    </w:p>
    <w:p>
      <w:pPr>
        <w:spacing w:after="0" w:line="178" w:lineRule="exact"/>
        <w:rPr>
          <w:rFonts w:ascii="Times New Roman" w:cs="Times New Roman" w:eastAsia="Times New Roman" w:hAnsi="Times New Roman"/>
          <w:sz w:val="21"/>
          <w:szCs w:val="21"/>
          <w:color w:val="auto"/>
        </w:rPr>
      </w:pPr>
    </w:p>
    <w:p>
      <w:pPr>
        <w:jc w:val="both"/>
        <w:ind w:left="-1120" w:firstLine="1304"/>
        <w:spacing w:after="0" w:line="265" w:lineRule="auto"/>
        <w:tabs>
          <w:tab w:leader="none" w:pos="656"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comply, to the extent applicable, with the requirements of Section 14(e) of the Exchange Act and any other securities laws or regulations (or rules of any exchange on which the Notes are then listed) in connection with the repurchase of Notes. To the extent that the provisions of any securities laws or regulations (or exchange rules) conflict with provisions of this Section 4.10, the Company shall comply with the applicable securities laws and regulations (or exchange rules) and shall not be deemed to have breached its obligations under this Indenture by virtue of any such conflict.</w:t>
      </w:r>
    </w:p>
    <w:p>
      <w:pPr>
        <w:spacing w:after="0" w:line="179" w:lineRule="exact"/>
        <w:rPr>
          <w:sz w:val="20"/>
          <w:szCs w:val="20"/>
          <w:color w:val="auto"/>
        </w:rPr>
      </w:pPr>
    </w:p>
    <w:p>
      <w:pPr>
        <w:ind w:left="180"/>
        <w:spacing w:after="0"/>
        <w:tabs>
          <w:tab w:leader="none" w:pos="1760" w:val="left"/>
        </w:tabs>
        <w:rPr>
          <w:sz w:val="20"/>
          <w:szCs w:val="20"/>
          <w:color w:val="auto"/>
        </w:rPr>
      </w:pPr>
      <w:r>
        <w:rPr>
          <w:rFonts w:ascii="Times New Roman" w:cs="Times New Roman" w:eastAsia="Times New Roman" w:hAnsi="Times New Roman"/>
          <w:sz w:val="22"/>
          <w:szCs w:val="22"/>
          <w:color w:val="auto"/>
        </w:rPr>
        <w:t>SECTION 4.11.</w:t>
      </w:r>
      <w:r>
        <w:rPr>
          <w:sz w:val="20"/>
          <w:szCs w:val="20"/>
          <w:color w:val="auto"/>
        </w:rPr>
        <w:tab/>
      </w:r>
      <w:r>
        <w:rPr>
          <w:rFonts w:ascii="Times New Roman" w:cs="Times New Roman" w:eastAsia="Times New Roman" w:hAnsi="Times New Roman"/>
          <w:sz w:val="21"/>
          <w:szCs w:val="21"/>
          <w:u w:val="single" w:color="auto"/>
          <w:color w:val="auto"/>
        </w:rPr>
        <w:t>Transactions with Affiliates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1120" w:firstLine="1304"/>
        <w:spacing w:after="0" w:line="252" w:lineRule="auto"/>
        <w:tabs>
          <w:tab w:leader="none" w:pos="646"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and shall not permit any of its Restricted Subsidiaries to, directly or indirectly, enter into or conduct any transaction or series of related transactions (including the purchase, sale, lease or exchange of any property or the rendering of any service) with or for the benefit of any Affiliate of the Company (such transaction or series of transactions being an “</w:t>
      </w:r>
      <w:r>
        <w:rPr>
          <w:rFonts w:ascii="Times New Roman" w:cs="Times New Roman" w:eastAsia="Times New Roman" w:hAnsi="Times New Roman"/>
          <w:sz w:val="22"/>
          <w:szCs w:val="22"/>
          <w:u w:val="single" w:color="auto"/>
          <w:color w:val="auto"/>
        </w:rPr>
        <w:t>Affiliate Transaction</w:t>
      </w:r>
      <w:r>
        <w:rPr>
          <w:rFonts w:ascii="Times New Roman" w:cs="Times New Roman" w:eastAsia="Times New Roman" w:hAnsi="Times New Roman"/>
          <w:sz w:val="22"/>
          <w:szCs w:val="22"/>
          <w:color w:val="auto"/>
        </w:rPr>
        <w:t>”) involving aggregate value in excess of $25.0 million unless:</w:t>
      </w:r>
    </w:p>
    <w:p>
      <w:pPr>
        <w:spacing w:after="0" w:line="192"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23"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such Affiliate Transaction taken as a whole are not materially less favorable to the Company or such Restricted Subsidiary, as the case may be, than those that could be obtained in a comparable transaction at the time of such transaction or the execution of the agreement providing for such transaction in arm’s length dealings with a Person who is not such an Affiliate; and</w:t>
      </w:r>
    </w:p>
    <w:p>
      <w:pPr>
        <w:sectPr>
          <w:pgSz w:w="11900" w:h="16838" w:orient="portrait"/>
          <w:cols w:equalWidth="0" w:num="1">
            <w:col w:w="10120"/>
          </w:cols>
          <w:pgMar w:left="1440" w:top="1422" w:right="339" w:bottom="1440" w:gutter="0" w:footer="0" w:header="0"/>
        </w:sectPr>
      </w:pPr>
    </w:p>
    <w:bookmarkStart w:id="116" w:name="page117"/>
    <w:bookmarkEnd w:id="116"/>
    <w:p>
      <w:pPr>
        <w:jc w:val="both"/>
        <w:ind w:left="1300" w:firstLine="652"/>
        <w:spacing w:after="0" w:line="256" w:lineRule="auto"/>
        <w:tabs>
          <w:tab w:leader="none" w:pos="2666"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such Affiliate Transaction, individually or together with other related Affiliate Transactions, involves an aggregate value in excess of $50.0 million, the terms of such transaction have been approved by a resolution of the majority of the members of the Board of Directors of the Company resolving that such transaction complies with Section 4.11(a)(1).</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Any Affiliate Transaction shall be deemed to have satisfied the requirements set forth in Section 4.11(a)(2) if such Affiliate Transaction is approved by a resolution of a majority of the Disinterested Directors. If there are no Disinterested Directors, any Affiliate Transaction shall be deemed to have satisfied the requirements set forth in this Section 4.11 if the Company or any of its Restricted Subsidiaries, as the case may be, delivers to the Trustee a letter from an Independent Financial Advisor stating that such transaction is fair to the Company or such Restricted Subsidiary from a financial point of view or stating that the terms are not materially less favorable to the Company or its relevant Restricted Subsidiary than those that would have been obtained in a comparable transaction by the Company or such Restricted Subsidiary with an unrelated Person on an arm’s length basis.</w:t>
      </w:r>
    </w:p>
    <w:p>
      <w:pPr>
        <w:spacing w:after="0" w:line="182" w:lineRule="exact"/>
        <w:rPr>
          <w:sz w:val="20"/>
          <w:szCs w:val="20"/>
          <w:color w:val="auto"/>
        </w:rPr>
      </w:pPr>
    </w:p>
    <w:p>
      <w:pPr>
        <w:ind w:left="1760" w:hanging="456"/>
        <w:spacing w:after="0"/>
        <w:tabs>
          <w:tab w:leader="none" w:pos="1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 4.11(a) will not apply to:</w:t>
      </w:r>
    </w:p>
    <w:p>
      <w:pPr>
        <w:spacing w:after="0" w:line="21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53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Payment permitted to be made pursuant to Section 4.07, any Permitted Payments (other than pursuant to Section 4.07(b)(9)(B) or any Permitted Investment (other than Permitted Investments as defined in paragraphs (1)(b), (2), (11), (15) and (17) of the definition thereof);</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49" w:lineRule="auto"/>
        <w:tabs>
          <w:tab w:leader="none" w:pos="2509"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issuance or sale of Capital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or indemnities provided on behalf of officers, employees, directors or consultants approved by the Board of Directors of the Company, in each case in the ordinary course of business;</w:t>
      </w:r>
    </w:p>
    <w:p>
      <w:pPr>
        <w:spacing w:after="0" w:line="18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Management Advances;</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97"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between or among the Company and any Restricted Subsidiary (or entity that becomes a Restricted Subsidiary as a result of such transaction), or between or among Restricted Subsidiaries;</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591" w:val="left"/>
        </w:tabs>
        <w:numPr>
          <w:ilvl w:val="1"/>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of reasonable fees and reimbursement of expenses to, and customary indemnities (including under customary insurance policies) and</w:t>
      </w:r>
    </w:p>
    <w:p>
      <w:pPr>
        <w:sectPr>
          <w:pgSz w:w="11900" w:h="16838" w:orient="portrait"/>
          <w:cols w:equalWidth="0" w:num="1">
            <w:col w:w="11240"/>
          </w:cols>
          <w:pgMar w:left="320" w:top="1422" w:right="339" w:bottom="1440" w:gutter="0" w:footer="0" w:header="0"/>
        </w:sectPr>
      </w:pPr>
    </w:p>
    <w:bookmarkStart w:id="117" w:name="page118"/>
    <w:bookmarkEnd w:id="117"/>
    <w:p>
      <w:pPr>
        <w:jc w:val="both"/>
        <w:ind w:left="180"/>
        <w:spacing w:after="0" w:line="257" w:lineRule="auto"/>
        <w:rPr>
          <w:sz w:val="20"/>
          <w:szCs w:val="20"/>
          <w:color w:val="auto"/>
        </w:rPr>
      </w:pPr>
      <w:r>
        <w:rPr>
          <w:rFonts w:ascii="Times New Roman" w:cs="Times New Roman" w:eastAsia="Times New Roman" w:hAnsi="Times New Roman"/>
          <w:sz w:val="22"/>
          <w:szCs w:val="22"/>
          <w:color w:val="auto"/>
        </w:rPr>
        <w:t>employee benefit and pension expenses provided on behalf of, directors, officers, consultants or employees of the Company, any Restricted Subsidiary or any Parent (whether directly or indirectly and including through any Person owned or controlled by any of such directors, officers or employees);</w:t>
      </w:r>
    </w:p>
    <w:p>
      <w:pPr>
        <w:spacing w:after="0" w:line="186" w:lineRule="exact"/>
        <w:rPr>
          <w:sz w:val="20"/>
          <w:szCs w:val="20"/>
          <w:color w:val="auto"/>
        </w:rPr>
      </w:pPr>
    </w:p>
    <w:p>
      <w:pPr>
        <w:jc w:val="both"/>
        <w:ind w:left="180" w:firstLine="652"/>
        <w:spacing w:after="0" w:line="250" w:lineRule="auto"/>
        <w:tabs>
          <w:tab w:leader="none" w:pos="136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into and performance of obligations of the Company or any of its Restricted Subsidiaries under the terms of any transaction arising out of, and any payments pursuant to or for purposes of funding, any agreement or instrument in effect as of or on the Issue Date, as these agreements and instruments may be amended, modified, supplemented, extended, renewed or refinanced from time to time in accordance with the other terms of this Section 4.11 or to the extent not more disadvantageous to the Holders in any material respect and the entry into and performance of any registration rights or other listing agreement in connection with any Public Offering;</w:t>
      </w:r>
    </w:p>
    <w:p>
      <w:pPr>
        <w:spacing w:after="0" w:line="180"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413"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formation and maintenance of any consolidated group for tax, accounting or cash pooling or management purposes in the ordinary course of business;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3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with customers, clients, suppliers or purchasers or sellers of goods or services, which, in each case, are in the ordinary course of business and are either fair to the Company or the relevant Restricted Subsidiary in the reasonable determination of the Board of Directors or the Senior Management of the Company or the relevant Restricted Subsidiary or on terms no less favorable than those that could reasonably have been obtained at such time from an unaffiliated party;</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32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in the ordinary course of business between or among the Company or any Restricted Subsidiary and any Affiliate of the Company or an Associate or similar entity that would constitute an Affiliate Transaction solely because the Company or a Restricted Subsidiary or any Affiliate of the Company or a Restricted Subsidiary owns an equity interest in or otherwise controls such Affiliate, Associate or similar entity; and</w:t>
      </w:r>
    </w:p>
    <w:p>
      <w:pPr>
        <w:spacing w:after="0" w:line="178" w:lineRule="exact"/>
        <w:rPr>
          <w:rFonts w:ascii="Times New Roman" w:cs="Times New Roman" w:eastAsia="Times New Roman" w:hAnsi="Times New Roman"/>
          <w:sz w:val="22"/>
          <w:szCs w:val="22"/>
          <w:color w:val="auto"/>
        </w:rPr>
      </w:pPr>
    </w:p>
    <w:p>
      <w:pPr>
        <w:jc w:val="both"/>
        <w:ind w:left="180" w:firstLine="652"/>
        <w:spacing w:after="0" w:line="253" w:lineRule="auto"/>
        <w:tabs>
          <w:tab w:leader="none" w:pos="146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issuances or sales of Capital Stock (other than Disqualified Stock or Designated Preference Shares) of the Company or options, warrants or other rights to acquire such Capital Stock or Subordinated Shareholder Funding;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interest rate and other financial terms of such Subordinated Shareholder Funding are approved by a majority of the members of the Board of Directors of the Company in their reasonable determination and</w:t>
      </w:r>
    </w:p>
    <w:p>
      <w:pPr>
        <w:spacing w:after="0" w:line="178" w:lineRule="exact"/>
        <w:rPr>
          <w:rFonts w:ascii="Times New Roman" w:cs="Times New Roman" w:eastAsia="Times New Roman" w:hAnsi="Times New Roman"/>
          <w:sz w:val="22"/>
          <w:szCs w:val="22"/>
          <w:color w:val="auto"/>
        </w:rPr>
      </w:pPr>
    </w:p>
    <w:p>
      <w:pPr>
        <w:ind w:left="1000" w:firstLine="642"/>
        <w:spacing w:after="0" w:line="271" w:lineRule="auto"/>
        <w:tabs>
          <w:tab w:leader="none" w:pos="2199" w:val="left"/>
        </w:tabs>
        <w:numPr>
          <w:ilvl w:val="1"/>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waiver or other transaction with respect to any Subordinated Shareholder Funding in compliance with the other provisions of this Indenture.</w:t>
      </w:r>
    </w:p>
    <w:p>
      <w:pPr>
        <w:sectPr>
          <w:pgSz w:w="11900" w:h="16838" w:orient="portrait"/>
          <w:cols w:equalWidth="0" w:num="1">
            <w:col w:w="10120"/>
          </w:cols>
          <w:pgMar w:left="1440" w:top="1422" w:right="339" w:bottom="1440" w:gutter="0" w:footer="0" w:header="0"/>
        </w:sectPr>
      </w:pPr>
    </w:p>
    <w:bookmarkStart w:id="118" w:name="page119"/>
    <w:bookmarkEnd w:id="118"/>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The Company shall not, and shall not permit any Restricted Subsidiary to, directly or indirectly, create, Incur or suffer to exist any Lien upon any of its property or assets (including Capital Stock of a Subsidiary), whether owned on the Issue Date or acquired after that date, or any interest therein or any income or profits therefrom, which Lien is securing any Indebtedness (such Lien, the “</w:t>
      </w:r>
      <w:r>
        <w:rPr>
          <w:rFonts w:ascii="Times New Roman" w:cs="Times New Roman" w:eastAsia="Times New Roman" w:hAnsi="Times New Roman"/>
          <w:sz w:val="22"/>
          <w:szCs w:val="22"/>
          <w:u w:val="single" w:color="auto"/>
          <w:color w:val="auto"/>
        </w:rPr>
        <w:t>Initial Lien</w:t>
      </w:r>
      <w:r>
        <w:rPr>
          <w:rFonts w:ascii="Times New Roman" w:cs="Times New Roman" w:eastAsia="Times New Roman" w:hAnsi="Times New Roman"/>
          <w:sz w:val="22"/>
          <w:szCs w:val="22"/>
          <w:color w:val="auto"/>
        </w:rPr>
        <w:t>”), except (a) in the case of any property or asset that does not constitute Collateral, (1) Permitted Liens or (2) Liens on property or assets that are not Permitted Liens if, contemporaneously with the Incurrence of such Initial Lien, the Notes and this Indenture (or a Note Guarantee in the case of Liens of a Guarantor) are directly secured equally and ratably with, or prior to, in the case of Liens with respect to Subordinated Indebtedness, the Indebtedness secured by such Initial Lien for so long as such Indebtedness is so secured, and (b) in the case of any property or asset that constitutes Collateral, Permitted Collateral Liens.</w:t>
      </w:r>
    </w:p>
    <w:p>
      <w:pPr>
        <w:spacing w:after="0" w:line="180"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4.13.</w:t>
      </w:r>
      <w:r>
        <w:rPr>
          <w:sz w:val="20"/>
          <w:szCs w:val="20"/>
          <w:color w:val="auto"/>
        </w:rPr>
        <w:tab/>
      </w:r>
      <w:r>
        <w:rPr>
          <w:rFonts w:ascii="Times New Roman" w:cs="Times New Roman" w:eastAsia="Times New Roman" w:hAnsi="Times New Roman"/>
          <w:sz w:val="21"/>
          <w:szCs w:val="21"/>
          <w:u w:val="single" w:color="auto"/>
          <w:color w:val="auto"/>
        </w:rPr>
        <w:t>[Intentionally Omitted].</w:t>
      </w:r>
    </w:p>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Corporate Existence</w:t>
      </w:r>
      <w:r>
        <w:rPr>
          <w:rFonts w:ascii="Times New Roman" w:cs="Times New Roman" w:eastAsia="Times New Roman" w:hAnsi="Times New Roman"/>
          <w:sz w:val="22"/>
          <w:szCs w:val="22"/>
          <w:color w:val="auto"/>
        </w:rPr>
        <w:t>. Subject to Article V hereof, the Company and each Guarantor shall do or cause to be done all things necessary to preserve and keep in full force and effect:</w:t>
      </w:r>
    </w:p>
    <w:p>
      <w:pPr>
        <w:spacing w:after="0" w:line="2" w:lineRule="exact"/>
        <w:rPr>
          <w:sz w:val="20"/>
          <w:szCs w:val="20"/>
          <w:color w:val="auto"/>
        </w:rPr>
      </w:pPr>
    </w:p>
    <w:p>
      <w:pPr>
        <w:jc w:val="both"/>
        <w:ind w:firstLine="1304"/>
        <w:spacing w:after="0" w:line="252" w:lineRule="auto"/>
        <w:tabs>
          <w:tab w:leader="none" w:pos="199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corporate existence, and the corporate, partnership or other existence of each of the Restricted Subsidiaries, in accordance with the respective organizational documents (as the same may be amended from time to time) of the Company or any such Restricted Subsidiary; and</w:t>
      </w:r>
    </w:p>
    <w:p>
      <w:pPr>
        <w:spacing w:after="0" w:line="178"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(charter and statutory), licenses and franchises of the Company, each Guarantor and the Restricted</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Subsidiaries;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and each Guarantor shall not be required to preserve any such right, license or franchise, or the corporate, partnership or other existence of any of the Restricted Subsidiaries (other than the Company), if the Board of Directors or an Officer of the Company shall determine that the preservation thereof is no longer necessary or desirable in the conduct of the business of the Company, each Guarantor and the Restricted Subsidiaries, taken as a whole.</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The foregoing shall not prohibit a sale, transfer or conveyance of a Restricted Subsidiary (other than the Company) or any of its assets in compliance with the terms of this Indenture.</w:t>
      </w:r>
    </w:p>
    <w:p>
      <w:pPr>
        <w:spacing w:after="0" w:line="158"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4.15.</w:t>
      </w:r>
      <w:r>
        <w:rPr>
          <w:sz w:val="20"/>
          <w:szCs w:val="20"/>
          <w:color w:val="auto"/>
        </w:rPr>
        <w:tab/>
      </w:r>
      <w:r>
        <w:rPr>
          <w:rFonts w:ascii="Times New Roman" w:cs="Times New Roman" w:eastAsia="Times New Roman" w:hAnsi="Times New Roman"/>
          <w:sz w:val="21"/>
          <w:szCs w:val="21"/>
          <w:u w:val="single" w:color="auto"/>
          <w:color w:val="auto"/>
        </w:rPr>
        <w:t>Offer to Repurchase upon Change of Control</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8" w:lineRule="auto"/>
        <w:tabs>
          <w:tab w:leader="none" w:pos="1827"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Change of Control occurs, subject to the terms hereof, each Holder shall have the right to require the Company to repurchase all or part (equal to $200,000 or an integral multiple of $1,000 in excess thereof) of such Holder’s Notes at a purchase price in cash equal to 101% of the principal amount of the Notes, plus accrued and unpaid interest to the date of purchase (subject to the right of Holders of record on the relevant record date to receive interest due on the relevant interest payment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not be obliged to repurchase Notes pursuant to this Section 4.15 in the event and to the extent</w:t>
      </w:r>
    </w:p>
    <w:p>
      <w:pPr>
        <w:sectPr>
          <w:pgSz w:w="11900" w:h="16838" w:orient="portrait"/>
          <w:cols w:equalWidth="0" w:num="1">
            <w:col w:w="11240"/>
          </w:cols>
          <w:pgMar w:left="320" w:top="1422" w:right="339" w:bottom="1440" w:gutter="0" w:footer="0" w:header="0"/>
        </w:sectPr>
      </w:pPr>
    </w:p>
    <w:bookmarkStart w:id="119" w:name="page120"/>
    <w:bookmarkEnd w:id="119"/>
    <w:p>
      <w:pPr>
        <w:spacing w:after="0" w:line="271" w:lineRule="auto"/>
        <w:rPr>
          <w:sz w:val="20"/>
          <w:szCs w:val="20"/>
          <w:color w:val="auto"/>
        </w:rPr>
      </w:pPr>
      <w:r>
        <w:rPr>
          <w:rFonts w:ascii="Times New Roman" w:cs="Times New Roman" w:eastAsia="Times New Roman" w:hAnsi="Times New Roman"/>
          <w:sz w:val="22"/>
          <w:szCs w:val="22"/>
          <w:color w:val="auto"/>
        </w:rPr>
        <w:t>that it has unconditionally exercised its right to redeem all the Notes pursuant to Section 3.07 or all conditions to such redemption have been satisfied or waived.</w:t>
      </w:r>
    </w:p>
    <w:p>
      <w:pPr>
        <w:spacing w:after="0" w:line="158" w:lineRule="exact"/>
        <w:rPr>
          <w:sz w:val="20"/>
          <w:szCs w:val="20"/>
          <w:color w:val="auto"/>
        </w:rPr>
      </w:pPr>
    </w:p>
    <w:p>
      <w:pPr>
        <w:jc w:val="both"/>
        <w:ind w:firstLine="1304"/>
        <w:spacing w:after="0" w:line="256" w:lineRule="auto"/>
        <w:tabs>
          <w:tab w:leader="none" w:pos="1785"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Company has unconditionally exercised its right to redeem all the Notes pursuant to Section 3.07 or all conditions to such redemption have been satisfied or waived, no later than the date that is 60 days after any Change of Control, the Company shall mail a notice (the “</w:t>
      </w:r>
      <w:r>
        <w:rPr>
          <w:rFonts w:ascii="Times New Roman" w:cs="Times New Roman" w:eastAsia="Times New Roman" w:hAnsi="Times New Roman"/>
          <w:sz w:val="22"/>
          <w:szCs w:val="22"/>
          <w:u w:val="single" w:color="auto"/>
          <w:color w:val="auto"/>
        </w:rPr>
        <w:t>Change of Control Offer</w:t>
      </w:r>
      <w:r>
        <w:rPr>
          <w:rFonts w:ascii="Times New Roman" w:cs="Times New Roman" w:eastAsia="Times New Roman" w:hAnsi="Times New Roman"/>
          <w:sz w:val="22"/>
          <w:szCs w:val="22"/>
          <w:color w:val="auto"/>
        </w:rPr>
        <w:t>”) to each Holder of any such Notes, with a copy to the Trustee:</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50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a Change of Control has occurred or may occur and that such Holder has the right to require the Company to purchase such Holder’s Notes at a purchase price in cash equal to 101% of the principal amount of such Notes plus accrued and unpaid interest to, but not including, the date of purchase (subject to the right of Holders of record on a record date to receive interest on the relevant interest payment date) (the “</w:t>
      </w:r>
      <w:r>
        <w:rPr>
          <w:rFonts w:ascii="Times New Roman" w:cs="Times New Roman" w:eastAsia="Times New Roman" w:hAnsi="Times New Roman"/>
          <w:sz w:val="22"/>
          <w:szCs w:val="22"/>
          <w:u w:val="single" w:color="auto"/>
          <w:color w:val="auto"/>
        </w:rPr>
        <w:t>Change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of Control Payment</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300" w:firstLine="652"/>
        <w:spacing w:after="0" w:line="271" w:lineRule="auto"/>
        <w:tabs>
          <w:tab w:leader="none" w:pos="248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the repurchase date (which shall be no earlier than 10 days nor later than 60 days from the date such notice is mailed) (the “</w:t>
      </w:r>
      <w:r>
        <w:rPr>
          <w:rFonts w:ascii="Times New Roman" w:cs="Times New Roman" w:eastAsia="Times New Roman" w:hAnsi="Times New Roman"/>
          <w:sz w:val="22"/>
          <w:szCs w:val="22"/>
          <w:u w:val="single" w:color="auto"/>
          <w:color w:val="auto"/>
        </w:rPr>
        <w:t>Change of Control Payment Date</w:t>
      </w:r>
      <w:r>
        <w:rPr>
          <w:rFonts w:ascii="Times New Roman" w:cs="Times New Roman" w:eastAsia="Times New Roman" w:hAnsi="Times New Roman"/>
          <w:sz w:val="22"/>
          <w:szCs w:val="22"/>
          <w:color w:val="auto"/>
        </w:rPr>
        <w:t>”) and record date;</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84" w:lineRule="auto"/>
        <w:tabs>
          <w:tab w:leader="none" w:pos="263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describing the circumstances and relevant facts regarding the transaction or transactions that constitute the Change of Control;</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08"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any Note accepted for payment pursuant to the Change of Control Offer will cease to accrue interest after the Change of Control Payment Date unless the Change of Control Payment is not paid, and that any Note or part thereof not tendered will continue to accrue interest;</w:t>
      </w:r>
    </w:p>
    <w:p>
      <w:pPr>
        <w:spacing w:after="0" w:line="172"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37"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Holders electing to have any Notes purchased pursuant to a Change of Control Offer will be required to surrender the Notes, with the form entitled “</w:t>
      </w:r>
      <w:r>
        <w:rPr>
          <w:rFonts w:ascii="Times New Roman" w:cs="Times New Roman" w:eastAsia="Times New Roman" w:hAnsi="Times New Roman"/>
          <w:sz w:val="22"/>
          <w:szCs w:val="22"/>
          <w:u w:val="single" w:color="auto"/>
          <w:color w:val="auto"/>
        </w:rPr>
        <w:t>Option of Holder to Elect Purchase</w:t>
      </w:r>
      <w:r>
        <w:rPr>
          <w:rFonts w:ascii="Times New Roman" w:cs="Times New Roman" w:eastAsia="Times New Roman" w:hAnsi="Times New Roman"/>
          <w:sz w:val="22"/>
          <w:szCs w:val="22"/>
          <w:color w:val="auto"/>
        </w:rPr>
        <w:t>” attached to the Notes completed, to the Paying Agent at the address specified in the notice prior to the close of business on the third Business Day preceding the repurchase date;</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6" w:lineRule="auto"/>
        <w:tabs>
          <w:tab w:leader="none" w:pos="2435"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Holders shall be entitled to withdraw their election if the Paying Agent receives, not later than the close of business on the second Business Day preceding the repurchase date, a telegram, telex, facsimile transmission or letter setting forth the name of the Holder, the principal amount of Notes delivered for purchase, and a statement that such Holder is withdrawing his election to have the Notes purchased;</w:t>
      </w:r>
    </w:p>
    <w:p>
      <w:pPr>
        <w:spacing w:after="0" w:line="176"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49" w:val="left"/>
        </w:tabs>
        <w:numPr>
          <w:ilvl w:val="1"/>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stating that Holders whose Notes are being purchased only in part will be issued new Notes equal in principal amount to the unpurchased portion of the Notes surrendered, which unpurchased portion must be equal to, $200,000 in principal amount or an integral multiple of $1,000 in excess thereof; and</w:t>
      </w:r>
    </w:p>
    <w:p>
      <w:pPr>
        <w:sectPr>
          <w:pgSz w:w="11900" w:h="16838" w:orient="portrait"/>
          <w:cols w:equalWidth="0" w:num="1">
            <w:col w:w="11240"/>
          </w:cols>
          <w:pgMar w:left="320" w:top="1422" w:right="339" w:bottom="1440" w:gutter="0" w:footer="0" w:header="0"/>
        </w:sectPr>
      </w:pPr>
    </w:p>
    <w:bookmarkStart w:id="120" w:name="page121"/>
    <w:bookmarkEnd w:id="120"/>
    <w:p>
      <w:pPr>
        <w:ind w:left="1300" w:right="20" w:firstLine="652"/>
        <w:spacing w:after="0" w:line="271" w:lineRule="auto"/>
        <w:tabs>
          <w:tab w:leader="none" w:pos="249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notice is mailed prior to the occurrence of a Change of Control, stating that the Change of Control Offer is conditional on the occurrence of such Change of Control.</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On the Change of Control Payment Date, if the Change of Control shall have occurred, the Company shall, to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extent lawful:</w:t>
      </w:r>
    </w:p>
    <w:p>
      <w:pPr>
        <w:spacing w:after="0" w:line="207" w:lineRule="exact"/>
        <w:rPr>
          <w:sz w:val="20"/>
          <w:szCs w:val="20"/>
          <w:color w:val="auto"/>
        </w:rPr>
      </w:pPr>
    </w:p>
    <w:p>
      <w:pPr>
        <w:ind w:left="1920" w:firstLine="642"/>
        <w:spacing w:after="0" w:line="271" w:lineRule="auto"/>
        <w:tabs>
          <w:tab w:leader="none" w:pos="311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Notes or portions thereof properly tendered pursuant to the Change of Control Offer;</w:t>
      </w:r>
    </w:p>
    <w:p>
      <w:pPr>
        <w:spacing w:after="0" w:line="157" w:lineRule="exact"/>
        <w:rPr>
          <w:rFonts w:ascii="Times New Roman" w:cs="Times New Roman" w:eastAsia="Times New Roman" w:hAnsi="Times New Roman"/>
          <w:sz w:val="22"/>
          <w:szCs w:val="22"/>
          <w:color w:val="auto"/>
        </w:rPr>
      </w:pPr>
    </w:p>
    <w:p>
      <w:pPr>
        <w:ind w:left="1920" w:firstLine="642"/>
        <w:spacing w:after="0" w:line="271" w:lineRule="auto"/>
        <w:tabs>
          <w:tab w:leader="none" w:pos="3169"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an agent to be appointed by the Company an amount equal to the Change of Control Payment in respect of all Notes so tendered;</w:t>
      </w:r>
    </w:p>
    <w:p>
      <w:pPr>
        <w:spacing w:after="0" w:line="171"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4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or cause to be delivered to the Trustee an Officer’s Certificate stating the aggregate principal amount of Notes or portions thereof being purchased by the Company in the Change of Control Offer;</w:t>
      </w:r>
    </w:p>
    <w:p>
      <w:pPr>
        <w:spacing w:after="0" w:line="172" w:lineRule="exact"/>
        <w:rPr>
          <w:rFonts w:ascii="Times New Roman" w:cs="Times New Roman" w:eastAsia="Times New Roman" w:hAnsi="Times New Roman"/>
          <w:sz w:val="22"/>
          <w:szCs w:val="22"/>
          <w:color w:val="auto"/>
        </w:rPr>
      </w:pPr>
    </w:p>
    <w:p>
      <w:pPr>
        <w:jc w:val="both"/>
        <w:ind w:left="1920" w:firstLine="642"/>
        <w:spacing w:after="0" w:line="257" w:lineRule="auto"/>
        <w:tabs>
          <w:tab w:leader="none" w:pos="314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Global Notes, deliver, or cause to be delivered, to the Principal Paying Agent the Global Notes in order to reflect thereon the portion of such Notes or portions thereof that have been tendered to and purchased by the Company; and</w:t>
      </w:r>
    </w:p>
    <w:p>
      <w:pPr>
        <w:spacing w:after="0" w:line="186" w:lineRule="exact"/>
        <w:rPr>
          <w:rFonts w:ascii="Times New Roman" w:cs="Times New Roman" w:eastAsia="Times New Roman" w:hAnsi="Times New Roman"/>
          <w:sz w:val="22"/>
          <w:szCs w:val="22"/>
          <w:color w:val="auto"/>
        </w:rPr>
      </w:pPr>
    </w:p>
    <w:p>
      <w:pPr>
        <w:ind w:left="1920" w:firstLine="642"/>
        <w:spacing w:after="0" w:line="271" w:lineRule="auto"/>
        <w:tabs>
          <w:tab w:leader="none" w:pos="3117"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Definitive Registered Notes, deliver, or cause to be delivered, to the Registrar for cancellation all Definitive Registered Notes accepted for purchase by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Definitive Registered Notes have been issued, the Paying Agent shall promptly mail to each Holder of Definitive Registered Notes so tendered the Change of Control Payment for such Notes, and the Trustee or the Authentication Agent appointed by the Trustee shall promptly authenticate and mail (or cause to be transferred by book entry) to each Holder of Definitive Registered Notes a new Note equal in principal amount to the unpurchased portion of the Notes surrendered,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new Note will be in a principal amount that is at least $200,000 or an integral multiple of $1,000 in excess thereof.</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3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Section 4.15, a Change of Control Offer may be made in advance of a Change of Control, conditional upon such Change of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date will be no earlier than 10 days from the date a notice of such Change of Control Offer is mailed.</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9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required to make a Change of Control Offer upon a Change of Control if a third party makes the Change of Control Offer in the manner, at the times and otherwise in compliance with the requirements set forth in this Indenture applicable to a Change of Control Offer made by the Company and purchases all Notes validly tendered and not validly withdrawn under such Change of Control Offer.</w:t>
      </w:r>
    </w:p>
    <w:p>
      <w:pPr>
        <w:sectPr>
          <w:pgSz w:w="11900" w:h="16838" w:orient="portrait"/>
          <w:cols w:equalWidth="0" w:num="1">
            <w:col w:w="11240"/>
          </w:cols>
          <w:pgMar w:left="320" w:top="1422" w:right="339" w:bottom="1440" w:gutter="0" w:footer="0" w:header="0"/>
        </w:sectPr>
      </w:pPr>
    </w:p>
    <w:bookmarkStart w:id="121" w:name="page122"/>
    <w:bookmarkEnd w:id="121"/>
    <w:p>
      <w:pPr>
        <w:jc w:val="both"/>
        <w:ind w:firstLine="1304"/>
        <w:spacing w:after="0" w:line="251" w:lineRule="auto"/>
        <w:tabs>
          <w:tab w:leader="none" w:pos="1745"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to the extent applicable, with the requirements of Section 14(e) of the Exchange Act and any other securities laws or regulations (or rules of any exchange on which the Notes are then listed) in connection with the repurchase of Notes pursuant to this Section 4.15. To the extent that the provisions of any securities laws or regulations (or exchange rules) conflict with provisions of this Indenture, the Company shall comply with the applicable securities laws and regulations (or exchange rules) and shall not be deemed to have breached its obligations under the Change of Control provisions of this Indenture by virtue of the conflict.</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7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so long as the Notes are listed on the Exchange and admitted to trading on the Euro MTF Market and the rules and regulations of the Exchange so require, the Company will provide a notice to the Exchange and publish a public announcement with respect to the results of the Change of Control Offer as soon as practicable after the Change of Control Payment Date on the official website of the Exchange (</w:t>
      </w:r>
      <w:r>
        <w:rPr>
          <w:rFonts w:ascii="Times New Roman" w:cs="Times New Roman" w:eastAsia="Times New Roman" w:hAnsi="Times New Roman"/>
          <w:sz w:val="22"/>
          <w:szCs w:val="22"/>
          <w:i w:val="1"/>
          <w:iCs w:val="1"/>
          <w:color w:val="auto"/>
        </w:rPr>
        <w:t>www.luxse.com</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4.16.</w:t>
      </w:r>
      <w:r>
        <w:rPr>
          <w:sz w:val="20"/>
          <w:szCs w:val="20"/>
          <w:color w:val="auto"/>
        </w:rPr>
        <w:tab/>
      </w:r>
      <w:r>
        <w:rPr>
          <w:rFonts w:ascii="Times New Roman" w:cs="Times New Roman" w:eastAsia="Times New Roman" w:hAnsi="Times New Roman"/>
          <w:sz w:val="21"/>
          <w:szCs w:val="21"/>
          <w:u w:val="single" w:color="auto"/>
          <w:color w:val="auto"/>
        </w:rPr>
        <w:t>Additional Note Guarantees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784"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cause each Restricted Subsidiary that, after the Issue Date, guarantees any Indebtedness of the Company or any Guarantor, or assumes or in any other manner becomes liable with respect to any Indebtedness under the Senior Facilities Agreement or any refinancing Indebtedness in respect thereof, to simultaneously or prior thereto execute and deliver a supplemental indenture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or other appropriate agreement providing for such Restricted Subsidiary’s Note Guarantee on the same terms and conditions as those set forth in this Indenture (each such additional guarantee of the Notes, an “</w:t>
      </w:r>
      <w:r>
        <w:rPr>
          <w:rFonts w:ascii="Times New Roman" w:cs="Times New Roman" w:eastAsia="Times New Roman" w:hAnsi="Times New Roman"/>
          <w:sz w:val="21"/>
          <w:szCs w:val="21"/>
          <w:u w:val="single" w:color="auto"/>
          <w:color w:val="auto"/>
        </w:rPr>
        <w:t>Additional Note Guarantee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Cabot Asset Purchases (Ireland) Limited shall only be required to provide an Additional Note Guarantee to the extent it guarantees the Public Debt of the Company or any Guarantor.</w:t>
      </w:r>
    </w:p>
    <w:p>
      <w:pPr>
        <w:spacing w:after="0" w:line="172"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Company shall not be obligated to cause any such Restricted Subsidiary to guarantee the Notes to the extent that the grant of such Note Guarantee would be inconsistent with the Agreed Security Principles.</w:t>
      </w:r>
    </w:p>
    <w:p>
      <w:pPr>
        <w:spacing w:after="0" w:line="16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Maintenance of Listing</w:t>
      </w:r>
      <w:r>
        <w:rPr>
          <w:rFonts w:ascii="Times New Roman" w:cs="Times New Roman" w:eastAsia="Times New Roman" w:hAnsi="Times New Roman"/>
          <w:sz w:val="22"/>
          <w:szCs w:val="22"/>
          <w:color w:val="auto"/>
        </w:rPr>
        <w:t xml:space="preserve">. The Company shall use its commercially reasonable efforts to obtain and maintain the listing of the Notes on the Exchange and the admission to trading on the Euro MTF Market for so long as such Notes are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is unable to obtain such listing or such admission to trading or if at any time the Company determines that it shall not maintain such listing and such admission to trading, it shall obtain (where the Notes are initially so listed and admitted to trading, prior to the delisting of the Notes from the Euro MTF Market), and thereafter use its best efforts to maintain, a listing of such Notes on another “recognised stock exchange” as defined in Section 1005 of the Income Tax Act 2007 of the United Kingdom.</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Suspension of Covenants on Achievement of Investment Grade Status</w:t>
      </w:r>
      <w:r>
        <w:rPr>
          <w:rFonts w:ascii="Times New Roman" w:cs="Times New Roman" w:eastAsia="Times New Roman" w:hAnsi="Times New Roman"/>
          <w:sz w:val="22"/>
          <w:szCs w:val="22"/>
          <w:color w:val="auto"/>
        </w:rPr>
        <w:t>. If on any date following the Issue Date, the Notes have achieved Investment Grade Status and no Default or Event of Default has occurred and is continuing (a “</w:t>
      </w:r>
      <w:r>
        <w:rPr>
          <w:rFonts w:ascii="Times New Roman" w:cs="Times New Roman" w:eastAsia="Times New Roman" w:hAnsi="Times New Roman"/>
          <w:sz w:val="22"/>
          <w:szCs w:val="22"/>
          <w:u w:val="single" w:color="auto"/>
          <w:color w:val="auto"/>
        </w:rPr>
        <w:t>Suspension Event</w:t>
      </w:r>
      <w:r>
        <w:rPr>
          <w:rFonts w:ascii="Times New Roman" w:cs="Times New Roman" w:eastAsia="Times New Roman" w:hAnsi="Times New Roman"/>
          <w:sz w:val="22"/>
          <w:szCs w:val="22"/>
          <w:color w:val="auto"/>
        </w:rPr>
        <w:t>”), then, the Company shall notify the Trustee of this fact (provided that such notice shall not be a</w:t>
      </w:r>
    </w:p>
    <w:p>
      <w:pPr>
        <w:sectPr>
          <w:pgSz w:w="11900" w:h="16838" w:orient="portrait"/>
          <w:cols w:equalWidth="0" w:num="1">
            <w:col w:w="11240"/>
          </w:cols>
          <w:pgMar w:left="320" w:top="1422" w:right="339" w:bottom="1440" w:gutter="0" w:footer="0" w:header="0"/>
        </w:sectPr>
      </w:pPr>
    </w:p>
    <w:bookmarkStart w:id="122" w:name="page123"/>
    <w:bookmarkEnd w:id="122"/>
    <w:p>
      <w:pPr>
        <w:jc w:val="both"/>
        <w:spacing w:after="0" w:line="247" w:lineRule="auto"/>
        <w:rPr>
          <w:sz w:val="20"/>
          <w:szCs w:val="20"/>
          <w:color w:val="auto"/>
        </w:rPr>
      </w:pPr>
      <w:r>
        <w:rPr>
          <w:rFonts w:ascii="Times New Roman" w:cs="Times New Roman" w:eastAsia="Times New Roman" w:hAnsi="Times New Roman"/>
          <w:sz w:val="22"/>
          <w:szCs w:val="22"/>
          <w:color w:val="auto"/>
        </w:rPr>
        <w:t>precondition of the suspension of covenants described in this Section 4.18) and beginning on that day and continuing until the Reversion Date, the following Sections of this Indenture will not apply to such Notes: Section 4.07, Section 4.08, Section 4.09, Section 4.10, Section 4.11 and Section 5.01(a)(3) and, in each case, any related default provision of this Indenture will cease to be effective and will not be applicable to the Company and its Restricted Subsidiaries. Such Sections and any related default provisions will again apply according to their terms from the first day on which a Suspension Event ceases to be in effect. Such Sections will not, however, be of any effect with regard to actions of the Company properly taken during the continuance of the Suspension Event, and Section 4.07 will be interpreted as if it has been in effect since the date of this Indenture except that no default will be deemed to have occurred solely by reason of a Restricted Payment made while Section 4.07 was suspended. On the Reversion Date, all Indebtedness Incurred during the continuance of the Suspension Event will be classified, at the Company’s option, as having been Incurred pursuant to Section 4.09(a) or one of the clauses set forth in Section 4.09(b) (to the extent such Indebtedness would be permitted to be Incurred thereunder as of the Reversion Date and after giving effect to Indebtedness Incurred prior to the Suspension Event and outstanding on the Reversion Date). To the extent such Indebtedness would not be so permitted to be incurred under Section 4.09(a) or Section 4.09(b), such Indebtedness will be deemed to have been outstanding on the Issue Date, so that it is classified as permitted under Section 4.09(b)(4)(B).</w:t>
      </w:r>
    </w:p>
    <w:p>
      <w:pPr>
        <w:spacing w:after="0" w:line="20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4.19. </w:t>
      </w:r>
      <w:r>
        <w:rPr>
          <w:rFonts w:ascii="Times New Roman" w:cs="Times New Roman" w:eastAsia="Times New Roman" w:hAnsi="Times New Roman"/>
          <w:sz w:val="21"/>
          <w:szCs w:val="21"/>
          <w:u w:val="single" w:color="auto"/>
          <w:color w:val="auto"/>
        </w:rPr>
        <w:t>Further Instruments and Acts</w:t>
      </w:r>
      <w:r>
        <w:rPr>
          <w:rFonts w:ascii="Times New Roman" w:cs="Times New Roman" w:eastAsia="Times New Roman" w:hAnsi="Times New Roman"/>
          <w:sz w:val="21"/>
          <w:szCs w:val="21"/>
          <w:color w:val="auto"/>
        </w:rPr>
        <w:t xml:space="preserve">. Upon request of the Trustee, but without an affirmative duty on the Trustee to do so, the Company and the Guarantors shall execute and deliver such further instruments and do such further acts as may be reasonably necessary or proper to carry out more effectively the purpose of this Indenture and the Intercreditor Agreement. Subject to the Agreed Security Principles, the Company and its Restricted Subsidiaries shall, at their own expense, execute and do all such acts and things and provide such assurances as the Security Agent may reasonably require (i) for registering any Security Documents in any required register and for perfecting or protecting the security intended to be afforded, created or granted by such Security Documents and (ii) if such Security Documents have become enforceable, for facilitating the realization of all or any part of the assets which are subject to such Security Documents and for facilitating the exercise of all powers, authorities and discretions vested in the Security Agent or in any receiver of all or any part of those assets. Subject to the Agreed Security Principles, the Company and its Restricted Subsidiaries shall execute all transfers, conveyances, assignments and releases of that property whether to the Security Agent or to its nominees and give all notices, orders and directions which the Security Agent may reasonably request. Subject to the Agreed Security Principles and to the extent required by the Senior Facilities Agreement, if any Restricted Subsidiary becomes a Guarantor pursuant to Section 4.16, the Company shall cause such Guarantor to provide security over substantially all of its assets in favor of the Security Agent for the benefit of the Trustee acting for and on behalf of the Holders and consistently with the Intercreditor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so long as the Senior Facilities Agreement is in place, no security need be granted over assets which are not also made subject to security in favor of the Senior Facilities Agreement. For the avoidance of doubt, the assets and shares of any Permitted Purchase Obligations SPV (including Cabot Securitisation UK Limited and PPO RC SPV LLC) shall be excluded from the Collateral.</w:t>
      </w:r>
    </w:p>
    <w:p>
      <w:pPr>
        <w:sectPr>
          <w:pgSz w:w="11900" w:h="16838" w:orient="portrait"/>
          <w:cols w:equalWidth="0" w:num="1">
            <w:col w:w="11240"/>
          </w:cols>
          <w:pgMar w:left="320" w:top="1422" w:right="339" w:bottom="1440" w:gutter="0" w:footer="0" w:header="0"/>
        </w:sectPr>
      </w:pPr>
    </w:p>
    <w:bookmarkStart w:id="123" w:name="page124"/>
    <w:bookmarkEnd w:id="123"/>
    <w:p>
      <w:pPr>
        <w:ind w:left="4100"/>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8"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u w:val="single" w:color="auto"/>
          <w:color w:val="auto"/>
        </w:rPr>
        <w:t>Successors</w:t>
      </w:r>
    </w:p>
    <w:p>
      <w:pPr>
        <w:spacing w:after="0" w:line="196"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u w:val="single" w:color="auto"/>
          <w:color w:val="auto"/>
        </w:rPr>
        <w:t>Merger and Consolidation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120" w:firstLine="1304"/>
        <w:spacing w:after="0" w:line="271" w:lineRule="auto"/>
        <w:tabs>
          <w:tab w:leader="none" w:pos="643"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consolidate with or merge with or into, or convey, transfer or lease all or substantially all its assets to, any Person, unless: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33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(the “</w:t>
      </w:r>
      <w:r>
        <w:rPr>
          <w:rFonts w:ascii="Times New Roman" w:cs="Times New Roman" w:eastAsia="Times New Roman" w:hAnsi="Times New Roman"/>
          <w:sz w:val="22"/>
          <w:szCs w:val="22"/>
          <w:u w:val="single" w:color="auto"/>
          <w:color w:val="auto"/>
        </w:rPr>
        <w:t>Successor Company</w:t>
      </w:r>
      <w:r>
        <w:rPr>
          <w:rFonts w:ascii="Times New Roman" w:cs="Times New Roman" w:eastAsia="Times New Roman" w:hAnsi="Times New Roman"/>
          <w:sz w:val="22"/>
          <w:szCs w:val="22"/>
          <w:color w:val="auto"/>
        </w:rPr>
        <w:t>”) shall be a Person organized and existing under the laws of the United Kingdom, or any member state of the European Union on January 1, 2004, or the United States of America, any State of the United States or the District of Columbia, Canada or any province of Canada, Norway or Switzerland and the Successor Company (if not the Company) shall expressly assume, (x) by supplemental indenture, executed and delivered to the Trustee, in form reasonably satisfactory to the Trustee, all the obligations of the Company, under the Notes and this Indenture and (y) all obligations of the Company, under the Intercreditor Agreement and the Security Documents;</w:t>
      </w:r>
    </w:p>
    <w:p>
      <w:pPr>
        <w:spacing w:after="0" w:line="180"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72"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56" w:lineRule="auto"/>
        <w:tabs>
          <w:tab w:leader="none" w:pos="132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either (A) the Successor Company would be able to Incur at least an additional $1.00 of Indebtedness pursuant to Section 4.09(a) or (B) the Fixed Charge Coverage Ratio for the Successor Company and its Restricted Subsidiaries would not be lower than it was immediately prior to giving effect to such transaction; and</w:t>
      </w:r>
    </w:p>
    <w:p>
      <w:pPr>
        <w:spacing w:after="0" w:line="176"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33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have delivered to the Trustee an Officer’s Certificate and an Opinion of Counsel, each to the effect that such consolidation, merger or transfer and such supplemental indenture (if any) comply with this Indenture, and that all conditions precedent therein provided for relating to such transaction have been complied with and an Opinion of Counsel to the effect that such supplemental indenture (if any) has been duly authorized, executed and delivered and is a legal, valid and binding agreement enforceable against the Successor Company and the Notes constitute legal, valid and binding obligations of the Successor Company, enforceable in accordance with their terms (in each case, in form and substance reasonably satisfactory to the Trustee);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giving an Opinion of Counsel, counsel may rely on an Officer’s Certificate as to any matters of fact, including as to satisfaction of clauses (2) and (3) above.</w:t>
      </w:r>
    </w:p>
    <w:p>
      <w:pPr>
        <w:sectPr>
          <w:pgSz w:w="11900" w:h="16838" w:orient="portrait"/>
          <w:cols w:equalWidth="0" w:num="1">
            <w:col w:w="10120"/>
          </w:cols>
          <w:pgMar w:left="1440" w:top="1422" w:right="339" w:bottom="1440" w:gutter="0" w:footer="0" w:header="0"/>
        </w:sectPr>
      </w:pPr>
    </w:p>
    <w:bookmarkStart w:id="124" w:name="page125"/>
    <w:bookmarkEnd w:id="124"/>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Any Indebtedness that becomes an obligation of the Company or any Restricted Subsidiary (or that is deemed to be Incurred by any Restricted Subsidiary that becomes a Restricted Subsidiary) as a result of any such transaction undertaken in compliance with this Section 5.01, and any Refinancing Indebtedness with respect thereto, shall be deemed to have been Incurred in compliance with Section 4.09.</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For purposes of this Section 5.01, the sale, lease, conveyance, assignment, transfer, or other disposition of all or substantially all the properties and assets of one or more Subsidiaries of the Company, which properties and assets, if held by the Company instead of such Subsidiaries, would constitute all or substantially all the properties and assets of the Company on a consolidated basis, shall be deemed to be the transfer of all or substantially all the properties and assets of the Company.</w:t>
      </w:r>
    </w:p>
    <w:p>
      <w:pPr>
        <w:spacing w:after="0" w:line="19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The Successor Company shall succeed to, and be substituted for, and may exercise every right and power of, the Company, under this Indenture and the Notes but in the case of a lease of all or substantially all its assets, the predecessor company shall not be released from its obligations under such Indenture or the Notes.</w:t>
      </w:r>
    </w:p>
    <w:p>
      <w:pPr>
        <w:spacing w:after="0" w:line="17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Notwithstanding Sections 5.01(a)(2) and 5.01(a)(3) (which do not apply to transactions referred to in this sentence) and, other than with respect to the second preceding paragraph, Section 5.01(a)(4), (x) any Restricted Subsidiary may consolidate or otherwise combine with, merge into or transfer all or part of its properties and assets to the Company, and (y) any Restricted Subsidiary that is not a Guarantor may consolidate or otherwise combine with, merge into or transfer all or part of its properties and assets to any other Restricted Subsidiary. Notwithstanding Sections 5.01(a)(2) and 5.01(a)(3) (which do not apply to the transactions referred to in this sentence), the Company may consolidate or otherwise combine with or merge into an Affiliate incorporated or organized for the purpose of changing the legal domicile of the Company, reincorporating the Company in another jurisdiction, or changing the legal form of the Company.</w:t>
      </w:r>
    </w:p>
    <w:p>
      <w:pPr>
        <w:spacing w:after="0" w:line="195" w:lineRule="exact"/>
        <w:rPr>
          <w:sz w:val="20"/>
          <w:szCs w:val="20"/>
          <w:color w:val="auto"/>
        </w:rPr>
      </w:pPr>
    </w:p>
    <w:p>
      <w:pPr>
        <w:ind w:left="1780" w:hanging="476"/>
        <w:spacing w:after="0"/>
        <w:tabs>
          <w:tab w:leader="none" w:pos="178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Guarantor may:</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 with or merge with or into any Person;</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62"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convey, transfer or dispose of, all or substantially all its assets as an entirety or substantially as an entirety, in one transaction or a series of related transactions, to any Person; or</w:t>
      </w:r>
    </w:p>
    <w:p>
      <w:pPr>
        <w:spacing w:after="0" w:line="157"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any Person to merge with or into a Guarantor, unless:</w:t>
      </w:r>
    </w:p>
    <w:p>
      <w:pPr>
        <w:spacing w:after="0" w:line="233" w:lineRule="exact"/>
        <w:rPr>
          <w:rFonts w:ascii="Times New Roman" w:cs="Times New Roman" w:eastAsia="Times New Roman" w:hAnsi="Times New Roman"/>
          <w:sz w:val="22"/>
          <w:szCs w:val="22"/>
          <w:color w:val="auto"/>
        </w:rPr>
      </w:pPr>
    </w:p>
    <w:p>
      <w:pPr>
        <w:ind w:left="3080" w:hanging="518"/>
        <w:spacing w:after="0"/>
        <w:tabs>
          <w:tab w:leader="none" w:pos="3080"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Person is a Guarantor or becomes a Guarantor concurrently with the transaction; or</w:t>
      </w:r>
    </w:p>
    <w:p>
      <w:pPr>
        <w:spacing w:after="0" w:line="219" w:lineRule="exact"/>
        <w:rPr>
          <w:rFonts w:ascii="Times New Roman" w:cs="Times New Roman" w:eastAsia="Times New Roman" w:hAnsi="Times New Roman"/>
          <w:sz w:val="22"/>
          <w:szCs w:val="22"/>
          <w:color w:val="auto"/>
        </w:rPr>
      </w:pPr>
    </w:p>
    <w:p>
      <w:pPr>
        <w:ind w:left="1920" w:right="20" w:firstLine="642"/>
        <w:spacing w:after="0" w:line="271" w:lineRule="auto"/>
        <w:tabs>
          <w:tab w:leader="none" w:pos="3106" w:val="left"/>
        </w:tabs>
        <w:numPr>
          <w:ilvl w:val="2"/>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either (x) a Guarantor is the continuing Person or (y) the resulting, surviving or transferee Person expressly assumes all the</w:t>
      </w:r>
    </w:p>
    <w:p>
      <w:pPr>
        <w:sectPr>
          <w:pgSz w:w="11900" w:h="16838" w:orient="portrait"/>
          <w:cols w:equalWidth="0" w:num="1">
            <w:col w:w="11240"/>
          </w:cols>
          <w:pgMar w:left="320" w:top="1422" w:right="339" w:bottom="1440" w:gutter="0" w:footer="0" w:header="0"/>
        </w:sectPr>
      </w:pPr>
    </w:p>
    <w:bookmarkStart w:id="125" w:name="page126"/>
    <w:bookmarkEnd w:id="125"/>
    <w:p>
      <w:pPr>
        <w:ind w:left="800" w:right="20"/>
        <w:spacing w:after="0" w:line="271" w:lineRule="auto"/>
        <w:rPr>
          <w:sz w:val="20"/>
          <w:szCs w:val="20"/>
          <w:color w:val="auto"/>
        </w:rPr>
      </w:pPr>
      <w:r>
        <w:rPr>
          <w:rFonts w:ascii="Times New Roman" w:cs="Times New Roman" w:eastAsia="Times New Roman" w:hAnsi="Times New Roman"/>
          <w:sz w:val="22"/>
          <w:szCs w:val="22"/>
          <w:color w:val="auto"/>
        </w:rPr>
        <w:t>obligations of the Guarantor under its Note Guarantee and the obligations under the Intercreditor Agreement and the Security Documents; and</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1"/>
          <w:szCs w:val="21"/>
          <w:color w:val="auto"/>
        </w:rPr>
        <w:t>(ii) immediately after giving effect to the transaction, no Default has occurred and is continuing; or</w:t>
      </w:r>
    </w:p>
    <w:p>
      <w:pPr>
        <w:spacing w:after="0" w:line="245" w:lineRule="exact"/>
        <w:rPr>
          <w:sz w:val="20"/>
          <w:szCs w:val="20"/>
          <w:color w:val="auto"/>
        </w:rPr>
      </w:pPr>
    </w:p>
    <w:p>
      <w:pPr>
        <w:jc w:val="both"/>
        <w:ind w:left="800" w:firstLine="642"/>
        <w:spacing w:after="0" w:line="257" w:lineRule="auto"/>
        <w:tabs>
          <w:tab w:leader="none" w:pos="203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constitutes a sale or other disposition (including by way of consolidation or merger) of the Guarantor or the sale or disposition of all or substantially all the assets of the Guarantor (in each case other than to the Company or a Restricted Subsidiary) otherwise permitted by this Indenture.</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Defaults and Remedies</w:t>
      </w:r>
    </w:p>
    <w:p>
      <w:pPr>
        <w:spacing w:after="0" w:line="209"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u w:val="single" w:color="auto"/>
          <w:color w:val="auto"/>
        </w:rPr>
        <w:t>Events of Default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40" w:hanging="456"/>
        <w:spacing w:after="0"/>
        <w:tabs>
          <w:tab w:leader="none" w:pos="64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306"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any payment of interest or Additional Amounts, if any, on any Note when due and payable, continued for 30 days;</w:t>
      </w:r>
    </w:p>
    <w:p>
      <w:pPr>
        <w:spacing w:after="0" w:line="157" w:lineRule="exact"/>
        <w:rPr>
          <w:rFonts w:ascii="Times New Roman" w:cs="Times New Roman" w:eastAsia="Times New Roman" w:hAnsi="Times New Roman"/>
          <w:sz w:val="22"/>
          <w:szCs w:val="22"/>
          <w:color w:val="auto"/>
        </w:rPr>
      </w:pPr>
    </w:p>
    <w:p>
      <w:pPr>
        <w:jc w:val="both"/>
        <w:ind w:left="180" w:firstLine="652"/>
        <w:spacing w:after="0" w:line="263" w:lineRule="auto"/>
        <w:tabs>
          <w:tab w:leader="none" w:pos="134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167" w:lineRule="exact"/>
        <w:rPr>
          <w:rFonts w:ascii="Times New Roman" w:cs="Times New Roman" w:eastAsia="Times New Roman" w:hAnsi="Times New Roman"/>
          <w:sz w:val="22"/>
          <w:szCs w:val="22"/>
          <w:color w:val="auto"/>
        </w:rPr>
      </w:pPr>
    </w:p>
    <w:p>
      <w:pPr>
        <w:jc w:val="both"/>
        <w:ind w:left="180" w:firstLine="652"/>
        <w:spacing w:after="0" w:line="251" w:lineRule="auto"/>
        <w:tabs>
          <w:tab w:leader="none" w:pos="1357"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comply for 30 days after written notice by the Trustee on behalf of the Holders or by the Holders of 25% in principal amount of the outstanding Notes with the Company’s obligations under Section 4.15 or the Guarantors’ or the Restricted Subsidiaries’ or the Company’s obligations under Section 4.03, Section 4.06, Section 4.07, Section 4.08, Section 4.09, Section 4.10, Section 4.11, Section 4.12, Section 4.16, Section 4.17, Section 4.18, Section 4.19, Section 5.01, Section 9.07 or Section 12.03 (in each case, other than a failure to purchase Notes which will constitute an Event of Default under Section 6.01(a)(2));</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57"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comply for 60 days after written notice by the Trustee on behalf of the Holders or by the Holders of 25% in principal amount of the outstanding Notes with the Guarantors’ or Company’s other agreements contained in this Indenture;</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64"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w:t>
      </w:r>
    </w:p>
    <w:p>
      <w:pPr>
        <w:sectPr>
          <w:pgSz w:w="11900" w:h="16838" w:orient="portrait"/>
          <w:cols w:equalWidth="0" w:num="1">
            <w:col w:w="10120"/>
          </w:cols>
          <w:pgMar w:left="1440" w:top="1422" w:right="339" w:bottom="1440" w:gutter="0" w:footer="0" w:header="0"/>
        </w:sectPr>
      </w:pPr>
    </w:p>
    <w:bookmarkStart w:id="126" w:name="page127"/>
    <w:bookmarkEnd w:id="126"/>
    <w:p>
      <w:pPr>
        <w:ind w:left="180"/>
        <w:spacing w:after="0"/>
        <w:rPr>
          <w:sz w:val="20"/>
          <w:szCs w:val="20"/>
          <w:color w:val="auto"/>
        </w:rPr>
      </w:pPr>
      <w:r>
        <w:rPr>
          <w:rFonts w:ascii="Times New Roman" w:cs="Times New Roman" w:eastAsia="Times New Roman" w:hAnsi="Times New Roman"/>
          <w:sz w:val="22"/>
          <w:szCs w:val="22"/>
          <w:color w:val="auto"/>
        </w:rPr>
        <w:t>Restricted Subsidiaries) other than Indebtedness owed to the Company or a Restricted Subsidiary whether such</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Indebtedness or Guarantee exists on the Issue Date, or is created after the Issue Date, which default:</w:t>
      </w:r>
    </w:p>
    <w:p>
      <w:pPr>
        <w:spacing w:after="0" w:line="196" w:lineRule="exact"/>
        <w:rPr>
          <w:sz w:val="20"/>
          <w:szCs w:val="20"/>
          <w:color w:val="auto"/>
        </w:rPr>
      </w:pPr>
    </w:p>
    <w:p>
      <w:pPr>
        <w:ind w:left="800" w:firstLine="642"/>
        <w:spacing w:after="0" w:line="284" w:lineRule="auto"/>
        <w:tabs>
          <w:tab w:leader="none" w:pos="199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caused by a failure to pay principal of such Indebtedness, immediately upon the expiration of the grace period provided in such Indebtedness (“</w:t>
      </w:r>
      <w:r>
        <w:rPr>
          <w:rFonts w:ascii="Times New Roman" w:cs="Times New Roman" w:eastAsia="Times New Roman" w:hAnsi="Times New Roman"/>
          <w:sz w:val="22"/>
          <w:szCs w:val="22"/>
          <w:u w:val="single" w:color="auto"/>
          <w:color w:val="auto"/>
        </w:rPr>
        <w:t>payment default</w:t>
      </w:r>
      <w:r>
        <w:rPr>
          <w:rFonts w:ascii="Times New Roman" w:cs="Times New Roman" w:eastAsia="Times New Roman" w:hAnsi="Times New Roman"/>
          <w:sz w:val="22"/>
          <w:szCs w:val="22"/>
          <w:color w:val="auto"/>
        </w:rPr>
        <w:t>”); or</w:t>
      </w:r>
    </w:p>
    <w:p>
      <w:pPr>
        <w:spacing w:after="0" w:line="143" w:lineRule="exact"/>
        <w:rPr>
          <w:rFonts w:ascii="Times New Roman" w:cs="Times New Roman" w:eastAsia="Times New Roman" w:hAnsi="Times New Roman"/>
          <w:sz w:val="22"/>
          <w:szCs w:val="22"/>
          <w:color w:val="auto"/>
        </w:rPr>
      </w:pPr>
    </w:p>
    <w:p>
      <w:pPr>
        <w:ind w:left="2020" w:hanging="578"/>
        <w:spacing w:after="0"/>
        <w:tabs>
          <w:tab w:leader="none" w:pos="202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results in the acceleration of such Indebtedness prior to its maturity (the “</w:t>
      </w:r>
      <w:r>
        <w:rPr>
          <w:rFonts w:ascii="Times New Roman" w:cs="Times New Roman" w:eastAsia="Times New Roman" w:hAnsi="Times New Roman"/>
          <w:sz w:val="22"/>
          <w:szCs w:val="22"/>
          <w:u w:val="single" w:color="auto"/>
          <w:color w:val="auto"/>
        </w:rPr>
        <w:t>cross acceleration</w:t>
      </w:r>
    </w:p>
    <w:p>
      <w:pPr>
        <w:spacing w:after="0" w:line="27"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22"/>
          <w:szCs w:val="22"/>
          <w:color w:val="auto"/>
        </w:rPr>
        <w:t>and, in each case, the principal amount of any such Indebtedness, together with the principal amount of any other such Indebtedness under which there has been a payment default or the maturity of which has been so accelerated, aggregates $50.0 million or more;</w:t>
      </w:r>
    </w:p>
    <w:p>
      <w:pPr>
        <w:spacing w:after="0" w:line="167" w:lineRule="exact"/>
        <w:rPr>
          <w:sz w:val="20"/>
          <w:szCs w:val="20"/>
          <w:color w:val="auto"/>
        </w:rPr>
      </w:pPr>
    </w:p>
    <w:p>
      <w:pPr>
        <w:jc w:val="both"/>
        <w:ind w:left="180" w:firstLine="652"/>
        <w:spacing w:after="0" w:line="259" w:lineRule="auto"/>
        <w:tabs>
          <w:tab w:leader="none" w:pos="130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a proceeding is commenced seeking a decree or order for (i) relief in respect of the Company or a Significant Subsidiary, or a group of Restricted Subsidiaries that, taken together (as of the latest audited consolidated financial statements for the Company and its Restricted Subsidiaries), would constitute a Significant Subsidiary, in an involuntary case under any applicable Bankruptcy Law, (ii) the appointment of a receiver, administrative receiver, liquidator, assignee, custodian, trustee, examiner, administrator, sequestrator, compulsory manager, </w:t>
      </w:r>
      <w:r>
        <w:rPr>
          <w:rFonts w:ascii="Times New Roman" w:cs="Times New Roman" w:eastAsia="Times New Roman" w:hAnsi="Times New Roman"/>
          <w:sz w:val="21"/>
          <w:szCs w:val="21"/>
          <w:i w:val="1"/>
          <w:iCs w:val="1"/>
          <w:color w:val="auto"/>
        </w:rPr>
        <w:t>commissaire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juge-commissaire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curateur</w:t>
      </w:r>
      <w:r>
        <w:rPr>
          <w:rFonts w:ascii="Times New Roman" w:cs="Times New Roman" w:eastAsia="Times New Roman" w:hAnsi="Times New Roman"/>
          <w:sz w:val="21"/>
          <w:szCs w:val="21"/>
          <w:color w:val="auto"/>
        </w:rPr>
        <w:t xml:space="preserve"> or similar official of the Company, a Significant Subsidiary or a group of Restricted Subsidiaries that, taken together (as of the latest audited consolidated financial statements for the Company and its Restricted Subsidiaries), would constitute a Significant Subsidiary, or for all or substantially all the property and assets of the Company, or a Significant Subsidiary or a group of Restricted Subsidiaries that, taken together (as of the latest audited consolidated financial statements for the Company and its Restricted Subsidiaries), would constitute a Significant Subsidiary or (iii) the winding up or liquidation of the affairs of the Company, a Significant Subsidiary, or a group of Restricted Subsidiaries that, taken together (as of the latest audited consolidated financial statements for the Company and its Restricted Subsidiaries), would constitute a Significant Subsidiary (other than, except in the case of the Company, a solvent winding up or liquidation in connection with a transfer of assets among the Company and the Restricted Subsidiaries) and, in each case, such proceeding shall remain unstayed and in effect for a period of 30 consecutive days; or (B) other than, except in the case of the Company, in relation to a solvent winding up or liquidation in connection with a transfer of assets among the Company and the Restricted Subsidiaries, a Significant Subsidiary or a group of Restricted Subsidiaries that, taken together (as of the latest audited consolidated financial statements for the Company and its Restricted Subsidiaries), would constitute a Significant Subsidiary (i) commences a voluntary case (including taking any action for the purpose of winding up)</w:t>
      </w:r>
    </w:p>
    <w:p>
      <w:pPr>
        <w:sectPr>
          <w:pgSz w:w="11900" w:h="16838" w:orient="portrait"/>
          <w:cols w:equalWidth="0" w:num="1">
            <w:col w:w="10120"/>
          </w:cols>
          <w:pgMar w:left="1440" w:top="1422" w:right="339" w:bottom="1440" w:gutter="0" w:footer="0" w:header="0"/>
        </w:sectPr>
      </w:pPr>
    </w:p>
    <w:bookmarkStart w:id="127" w:name="page128"/>
    <w:bookmarkEnd w:id="127"/>
    <w:p>
      <w:pPr>
        <w:jc w:val="both"/>
        <w:ind w:left="180"/>
        <w:spacing w:after="0" w:line="254" w:lineRule="auto"/>
        <w:rPr>
          <w:sz w:val="20"/>
          <w:szCs w:val="20"/>
          <w:color w:val="auto"/>
        </w:rPr>
      </w:pPr>
      <w:r>
        <w:rPr>
          <w:rFonts w:ascii="Times New Roman" w:cs="Times New Roman" w:eastAsia="Times New Roman" w:hAnsi="Times New Roman"/>
          <w:sz w:val="22"/>
          <w:szCs w:val="22"/>
          <w:color w:val="auto"/>
        </w:rPr>
        <w:t>under any applicable Bankruptcy Law, or consents to the entry of an order for relief in an involuntary case under any such law, or enters into a scheme of arrangement for the purpose of restructuring all or a portion of its debts,</w:t>
      </w:r>
    </w:p>
    <w:p>
      <w:pPr>
        <w:spacing w:after="0" w:line="2" w:lineRule="exact"/>
        <w:rPr>
          <w:sz w:val="20"/>
          <w:szCs w:val="20"/>
          <w:color w:val="auto"/>
        </w:rPr>
      </w:pPr>
    </w:p>
    <w:p>
      <w:pPr>
        <w:jc w:val="both"/>
        <w:ind w:left="180" w:firstLine="4"/>
        <w:spacing w:after="0" w:line="247" w:lineRule="auto"/>
        <w:tabs>
          <w:tab w:leader="none" w:pos="50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appointment of or taking possession by a receiver, administrative receiver, liquidator, assignee, custodian, trustee, examiner, administrator, sequestrator, compulsory manager or similar official of the Company, a Significant Subsidiary or a group of Restricted Subsidiaries that, taken together (as of the latest audited consolidated financial statements for the Company and its Restricted Subsidiaries), would constitute a Significant Subsidiary or for all or substantially all the property and assets of the Company, a Significant Subsidiary or a group of Restricted Subsidiaries that, taken together (as of the latest audited consolidated financial statements for the Company and its Restricted Subsidiaries), would constitute a Significant Subsidiary or (iii) effects any general assignment for the benefit of creditors.</w:t>
      </w:r>
    </w:p>
    <w:p>
      <w:pPr>
        <w:spacing w:after="0" w:line="188"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21"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or any Restricted Subsidiary to pay final judgments aggregating in excess of $50.0 million (exclusive of any amounts that a solvent insurance company has acknowledged liability for), which judgments are not paid, discharged or stayed for a period of 60 days after the judgment becomes final;</w:t>
      </w:r>
    </w:p>
    <w:p>
      <w:pPr>
        <w:spacing w:after="0" w:line="172" w:lineRule="exact"/>
        <w:rPr>
          <w:rFonts w:ascii="Times New Roman" w:cs="Times New Roman" w:eastAsia="Times New Roman" w:hAnsi="Times New Roman"/>
          <w:sz w:val="22"/>
          <w:szCs w:val="22"/>
          <w:color w:val="auto"/>
        </w:rPr>
      </w:pPr>
    </w:p>
    <w:p>
      <w:pPr>
        <w:jc w:val="both"/>
        <w:ind w:left="180" w:firstLine="652"/>
        <w:spacing w:after="0" w:line="252" w:lineRule="auto"/>
        <w:tabs>
          <w:tab w:leader="none" w:pos="1410"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security interest under the Security Documents on any material Collateral shall, at any time, cease to be in full force and effect (other than in accordance with the terms of the relevant Security Document and this Indenture) for any reason other than the satisfaction in full of all obligations under this Indenture or the release or amendment of any such security interest in accordance with the terms of this Indenture or such Security Document or any such security interest created thereunder shall be declared invalid or unenforceable or the Company shall assert in writing that any such security interest is invalid or unenforceable and any such default continues for 10 days; and</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57" w:lineRule="auto"/>
        <w:tabs>
          <w:tab w:leader="none" w:pos="1345"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Note Guarantee ceases to be in full force and effect, other than in accordance with the terms of this Indenture, or a Guarantor denies or disaffirms its obligations under its Note Guarantee, other than in accordance with the terms thereof or upon release of the Note Guarantee in accordance with this Indenture.</w:t>
      </w:r>
    </w:p>
    <w:p>
      <w:pPr>
        <w:spacing w:after="0" w:line="173" w:lineRule="exact"/>
        <w:rPr>
          <w:sz w:val="20"/>
          <w:szCs w:val="20"/>
          <w:color w:val="auto"/>
        </w:rPr>
      </w:pPr>
    </w:p>
    <w:p>
      <w:pPr>
        <w:jc w:val="both"/>
        <w:ind w:left="-1120" w:firstLine="1304"/>
        <w:spacing w:after="0" w:line="256" w:lineRule="auto"/>
        <w:tabs>
          <w:tab w:leader="none" w:pos="635"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under Section 6.01(a)(3), 6.01(a)(4), 6.01(a)(5) or 6.01(a)(7) will not constitute an Event of Default until the Trustee or the Holders of 25% in principal amount of the outstanding Notes notify the Company of the default and, with respect to Sections 6.01(a)(3), 6.01(a)(4), 6.01(a)(5) and 6.01(a)(7), the Company does not cure such default within the time specified in Section 6.01(a)(3), 6.01(a)(4), 6.01(a)(5) or 6.01(a)(7), as applicable, after receipt of such notice.</w:t>
      </w:r>
    </w:p>
    <w:p>
      <w:pPr>
        <w:spacing w:after="0" w:line="176" w:lineRule="exact"/>
        <w:rPr>
          <w:rFonts w:ascii="Times New Roman" w:cs="Times New Roman" w:eastAsia="Times New Roman" w:hAnsi="Times New Roman"/>
          <w:sz w:val="22"/>
          <w:szCs w:val="22"/>
          <w:color w:val="auto"/>
        </w:rPr>
      </w:pPr>
    </w:p>
    <w:p>
      <w:pPr>
        <w:ind w:left="-1120" w:firstLine="1304"/>
        <w:spacing w:after="0" w:line="271" w:lineRule="auto"/>
        <w:tabs>
          <w:tab w:leader="none" w:pos="67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Trustee, within 30 days after the occurrence thereof, written notice in the form of an Officer’s Certificate of any event which is, or</w:t>
      </w:r>
    </w:p>
    <w:p>
      <w:pPr>
        <w:sectPr>
          <w:pgSz w:w="11900" w:h="16838" w:orient="portrait"/>
          <w:cols w:equalWidth="0" w:num="1">
            <w:col w:w="10120"/>
          </w:cols>
          <w:pgMar w:left="1440" w:top="1422" w:right="339" w:bottom="1440" w:gutter="0" w:footer="0" w:header="0"/>
        </w:sectPr>
      </w:pPr>
    </w:p>
    <w:bookmarkStart w:id="128" w:name="page129"/>
    <w:bookmarkEnd w:id="128"/>
    <w:p>
      <w:pPr>
        <w:jc w:val="both"/>
        <w:spacing w:after="0" w:line="271" w:lineRule="auto"/>
        <w:rPr>
          <w:sz w:val="20"/>
          <w:szCs w:val="20"/>
          <w:color w:val="auto"/>
        </w:rPr>
      </w:pPr>
      <w:r>
        <w:rPr>
          <w:rFonts w:ascii="Times New Roman" w:cs="Times New Roman" w:eastAsia="Times New Roman" w:hAnsi="Times New Roman"/>
          <w:sz w:val="22"/>
          <w:szCs w:val="22"/>
          <w:color w:val="auto"/>
        </w:rPr>
        <w:t>with the giving of notice or lapse of time or both would become, an Event of Default, its status and what action the Company is taking or proposes to take in respect thereof.</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Acceleration</w:t>
      </w:r>
      <w:r>
        <w:rPr>
          <w:rFonts w:ascii="Times New Roman" w:cs="Times New Roman" w:eastAsia="Times New Roman" w:hAnsi="Times New Roman"/>
          <w:sz w:val="21"/>
          <w:szCs w:val="21"/>
          <w:color w:val="auto"/>
        </w:rPr>
        <w:t>. If an Event of Default (other than an Event of Default described in Section 6.01(a)(6)) occurs and is continuing, the Trustee by notice to the Company or the Holders of at least 25% in principal amount of the outstanding Notes by written notice to the Company and the Trustee, may, and the Trustee at the request of such Holders shall, declare the principal of, premium, if any, and accrued and unpaid interest, including Additional Amounts, if any, on all the Notes to be due and payable. Upon such a declaration, such principal, premium and accrued and unpaid interest, including Additional Amounts, if any, will be due and payable immediately. In the event of a declaration of acceleration of the Notes because an Event of Default described in Section 6.01(a)(5) has occurred and is continuing, the declaration of acceleration of the Notes shall be automatically annulled if the event of default or payment default triggering such Event of Default pursuant to Section 6.01(a)(5)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the Notes would not conflict with any judgment or decree of a court of competent jurisdiction and (2) all existing Events of Default, except non-payment of principal, premium or interest, including Additional Amounts, if any, on the Notes that became due solely because of the acceleration of the Notes, have been cured or waived.</w:t>
      </w:r>
    </w:p>
    <w:p>
      <w:pPr>
        <w:spacing w:after="0" w:line="17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If an Event of Default described in Section 6.01(a)(6) above occurs and is continuing, the principal of, premium, if any, and accrued and unpaid interest, including Additional Amounts, if any, on all the Notes will become and be immediately due and payable without any declaration or other act on the part of the Trustee or any Holders.</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Other Remedies</w:t>
      </w:r>
      <w:r>
        <w:rPr>
          <w:rFonts w:ascii="Times New Roman" w:cs="Times New Roman" w:eastAsia="Times New Roman" w:hAnsi="Times New Roman"/>
          <w:sz w:val="22"/>
          <w:szCs w:val="22"/>
          <w:color w:val="auto"/>
        </w:rPr>
        <w:t>. If an Event of Default occurs and is continuing, the Trustee may pursue any available remedy by proceeding at law or in equity to collect the payment of principal, premium, if any, and interest on the Notes or to enforce the performance of any provision of the Notes or this Indenture or any Security Document. Following such Event of Default, the Trustee is entitled to require all Agents to act under its direction.</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to the Event of Default. No remedy is exclusive of any other remedy. All remedies are cumulative to the extent permitted by law.</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Waiver of Past Defaults</w:t>
      </w:r>
      <w:r>
        <w:rPr>
          <w:rFonts w:ascii="Times New Roman" w:cs="Times New Roman" w:eastAsia="Times New Roman" w:hAnsi="Times New Roman"/>
          <w:sz w:val="22"/>
          <w:szCs w:val="22"/>
          <w:color w:val="auto"/>
        </w:rPr>
        <w:t>. Subject to Sections 6.07 and 9.02, the Trustee, upon receipt of written notice from the Holders of not less than a majority in aggregate principal amount of the Notes then outstanding, may on behalf of the Holders of all the Notes rescind an acceleration or waive all past or existing Defaults or Events of Default (except with respect to (i) non-payment of principal, premium or interest, or Additional Amounts, if any,</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50" w:lineRule="auto"/>
        <w:rPr>
          <w:sz w:val="20"/>
          <w:szCs w:val="20"/>
          <w:color w:val="auto"/>
        </w:rPr>
      </w:pPr>
      <w:r>
        <w:rPr>
          <w:rFonts w:ascii="Times New Roman" w:cs="Times New Roman" w:eastAsia="Times New Roman" w:hAnsi="Times New Roman"/>
          <w:sz w:val="22"/>
          <w:szCs w:val="22"/>
          <w:color w:val="auto"/>
        </w:rPr>
        <w:t>and (ii) a covenant or provision which under this Indenture cannot be modified or amended without the consent of the Holders of not less than 90% in aggregate principal amount of the Notes then outstanding, each of which may only be waived with the consent of the Holders of not less than 90% in aggregate principal amount of the Notes then outstanding) and rescind any such acceleration with respect to such Notes and its consequences if rescission would not conflict with any judgment or decree of a court of competent jurisdiction.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0"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Control by Majority</w:t>
      </w:r>
      <w:r>
        <w:rPr>
          <w:rFonts w:ascii="Times New Roman" w:cs="Times New Roman" w:eastAsia="Times New Roman" w:hAnsi="Times New Roman"/>
          <w:sz w:val="22"/>
          <w:szCs w:val="22"/>
          <w:color w:val="auto"/>
        </w:rPr>
        <w:t xml:space="preserve">. The Holders of a majority in aggregate principal amount of the outstanding Notes may direct the time, method and place of conducting any proceeding for exercising any remedy available to the Trustee, or of exercising any trust or power conferred on the Trustee, in respect of the Notes. However, the Trustee may refuse to follow any direction that the Trustee determines (after consultation with counsel) conflicts with law or this Indenture or that the Trustee determines is unduly prejudicial to the rights of any other Holder or that may involve the Trustee in personal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Trustee may take any other action deemed proper by the Trustee which is not inconsistent with any such direction. Prior to taking any action under this Indenture, the Trustee will be entitled to indemnification and/or security satisfactory to it against all losses and expenses caused by taking or not taking such action.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Limitation on Suits</w:t>
      </w:r>
      <w:r>
        <w:rPr>
          <w:rFonts w:ascii="Times New Roman" w:cs="Times New Roman" w:eastAsia="Times New Roman" w:hAnsi="Times New Roman"/>
          <w:sz w:val="22"/>
          <w:szCs w:val="22"/>
          <w:color w:val="auto"/>
        </w:rPr>
        <w:t>. Subject to Article VII, if an Event of Default occurs and is continuing, the Trustee will be under no obligation to exercise any of the rights or powers under this Indenture at the request or direction of any of the Holders unless such Holders have offered to the Trustee indemnity and/or security satisfactory to the Trustee against any loss, liability or expense. Except to enforce the right to receive payment of principal or interest when due, no Holder may pursue any remedy with respect to this Indenture or the Notes unless:</w:t>
      </w:r>
    </w:p>
    <w:p>
      <w:pPr>
        <w:spacing w:after="0" w:line="179" w:lineRule="exact"/>
        <w:rPr>
          <w:sz w:val="20"/>
          <w:szCs w:val="20"/>
          <w:color w:val="auto"/>
        </w:rPr>
      </w:pPr>
    </w:p>
    <w:p>
      <w:pPr>
        <w:ind w:left="1760" w:hanging="456"/>
        <w:spacing w:after="0"/>
        <w:tabs>
          <w:tab w:leader="none" w:pos="17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 has previously given the Trustee written notice that an Event of Default is continuing;</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7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25% in principal amount of the outstanding Notes have requested in writing that the Trustee pursue the remedy;</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86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Holders have offered in writing to the Trustee security and/or indemnity satisfactory to the Trustee against any loss, liability or expense;</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78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not complied with such request within 60 days after the receipt of the written request and the offer of security and/or indemnity; and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9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in principal amount of the outstanding Notes have not given the Trustee a written direction that, in the opinion of the Trustee, is inconsistent with such request within such 60-day period.</w:t>
      </w:r>
    </w:p>
    <w:p>
      <w:pPr>
        <w:sectPr>
          <w:pgSz w:w="11900" w:h="16838" w:orient="portrait"/>
          <w:cols w:equalWidth="0" w:num="1">
            <w:col w:w="11240"/>
          </w:cols>
          <w:pgMar w:left="320" w:top="1422" w:right="339" w:bottom="1440" w:gutter="0" w:footer="0" w:header="0"/>
        </w:sectPr>
      </w:pPr>
    </w:p>
    <w:bookmarkStart w:id="130" w:name="page131"/>
    <w:bookmarkEnd w:id="130"/>
    <w:p>
      <w:pPr>
        <w:ind w:left="1300"/>
        <w:spacing w:after="0"/>
        <w:rPr>
          <w:sz w:val="20"/>
          <w:szCs w:val="20"/>
          <w:color w:val="auto"/>
        </w:rPr>
      </w:pPr>
      <w:r>
        <w:rPr>
          <w:rFonts w:ascii="Times New Roman" w:cs="Times New Roman" w:eastAsia="Times New Roman" w:hAnsi="Times New Roman"/>
          <w:sz w:val="22"/>
          <w:szCs w:val="22"/>
          <w:color w:val="auto"/>
        </w:rPr>
        <w:t>The Trustee shall have no obligation to ascertain whether actions by Holders are unduly prejudicial to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Holders.</w:t>
      </w:r>
    </w:p>
    <w:p>
      <w:pPr>
        <w:spacing w:after="0" w:line="19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Rights of Holders to Receive Payment</w:t>
      </w:r>
      <w:r>
        <w:rPr>
          <w:rFonts w:ascii="Times New Roman" w:cs="Times New Roman" w:eastAsia="Times New Roman" w:hAnsi="Times New Roman"/>
          <w:sz w:val="22"/>
          <w:szCs w:val="22"/>
          <w:color w:val="auto"/>
        </w:rPr>
        <w:t>. Notwithstanding any other provision of this Indenture, the right of any Holder to receive payment of principal, premium, if any, and interest on the Note held by such Holder, on or after the respective due dates expressed in the Note (including in connection with an offer to purchase), or to bring suit for the enforcement of any such payment on or after such respective dates, shall not be impaired or affected without the consent of Holders of not less than 90% in aggregate principal amount of the Notes then outstanding.</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Collection Suit by Trustee</w:t>
      </w:r>
      <w:r>
        <w:rPr>
          <w:rFonts w:ascii="Times New Roman" w:cs="Times New Roman" w:eastAsia="Times New Roman" w:hAnsi="Times New Roman"/>
          <w:sz w:val="22"/>
          <w:szCs w:val="22"/>
          <w:color w:val="auto"/>
        </w:rPr>
        <w:t>. If an Event of Default specified in Section 6.01(a)(1) or (2) occurs and is continuing, the Trustee is authorized to recover judgment in its own name and as trustee of an express trust against the Company or any other obligor on the Notes for the whole amount then due and owing (together with interest on any unpaid interest to the extent lawful) and such further amount as shall be sufficient to cover the costs and expenses of collection, including the reasonable compensation, expenses, disbursements and advances of the Trustee, its agents and counsel.</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If the Company fails to pay such amounts forthwith upon such demand, the Trustee, in its own name as trustee of an express trust, may institute a judicial proceeding in its own name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pacing w:after="0" w:line="179"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6.09. </w:t>
      </w:r>
      <w:r>
        <w:rPr>
          <w:rFonts w:ascii="Times New Roman" w:cs="Times New Roman" w:eastAsia="Times New Roman" w:hAnsi="Times New Roman"/>
          <w:sz w:val="22"/>
          <w:szCs w:val="22"/>
          <w:u w:val="single" w:color="auto"/>
          <w:color w:val="auto"/>
        </w:rPr>
        <w:t>Trustee may File Proofs of Claim</w:t>
      </w:r>
      <w:r>
        <w:rPr>
          <w:rFonts w:ascii="Times New Roman" w:cs="Times New Roman" w:eastAsia="Times New Roman" w:hAnsi="Times New Roman"/>
          <w:sz w:val="22"/>
          <w:szCs w:val="22"/>
          <w:color w:val="auto"/>
        </w:rPr>
        <w:t>. The Trustee is authorized to file such proofs of claim and other papers or documents as may be necessary or advisable in order to have the claims of the Trustee (including any claim for the properly incurred compensation, expenses, disbursements and advances of the Trustee, its agents and counsel) and the Holders allowed in any judicial proceedings relative to the Company, any other obligor upon the Notes, their creditors or their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w:t>
      </w:r>
    </w:p>
    <w:p>
      <w:pPr>
        <w:sectPr>
          <w:pgSz w:w="11900" w:h="16838" w:orient="portrait"/>
          <w:cols w:equalWidth="0" w:num="1">
            <w:col w:w="11240"/>
          </w:cols>
          <w:pgMar w:left="320" w:top="1422" w:right="339" w:bottom="1440" w:gutter="0" w:footer="0" w:header="0"/>
        </w:sectPr>
      </w:pPr>
    </w:p>
    <w:bookmarkStart w:id="131" w:name="page132"/>
    <w:bookmarkEnd w:id="131"/>
    <w:p>
      <w:pPr>
        <w:jc w:val="both"/>
        <w:spacing w:after="0" w:line="257" w:lineRule="auto"/>
        <w:rPr>
          <w:sz w:val="20"/>
          <w:szCs w:val="20"/>
          <w:color w:val="auto"/>
        </w:rPr>
      </w:pPr>
      <w:r>
        <w:rPr>
          <w:rFonts w:ascii="Times New Roman" w:cs="Times New Roman" w:eastAsia="Times New Roman" w:hAnsi="Times New Roman"/>
          <w:sz w:val="22"/>
          <w:szCs w:val="22"/>
          <w:color w:val="auto"/>
        </w:rPr>
        <w:t>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6.10. </w:t>
      </w:r>
      <w:r>
        <w:rPr>
          <w:rFonts w:ascii="Times New Roman" w:cs="Times New Roman" w:eastAsia="Times New Roman" w:hAnsi="Times New Roman"/>
          <w:sz w:val="22"/>
          <w:szCs w:val="22"/>
          <w:u w:val="single" w:color="auto"/>
          <w:color w:val="auto"/>
        </w:rPr>
        <w:t>Priorities</w:t>
      </w:r>
      <w:r>
        <w:rPr>
          <w:rFonts w:ascii="Times New Roman" w:cs="Times New Roman" w:eastAsia="Times New Roman" w:hAnsi="Times New Roman"/>
          <w:sz w:val="22"/>
          <w:szCs w:val="22"/>
          <w:color w:val="auto"/>
        </w:rPr>
        <w:t>. If the Trustee collects any money pursuant to this Article VI, it shall pay out the money, subject to the terms of the Intercreditor Agreement, in the following order:</w:t>
      </w:r>
    </w:p>
    <w:p>
      <w:pPr>
        <w:spacing w:after="0" w:line="158"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the Trustee, its agents, delegates, and attorneys and the Agents for amounts due under Section 7.07, including payment of all compensation, expenses and liabilities incurred, and all advances made, by the Trustee and the costs and expenses of collection;</w:t>
      </w:r>
    </w:p>
    <w:p>
      <w:pPr>
        <w:spacing w:after="0" w:line="186"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to the Company or to such party as a court of competent jurisdiction shall direct.</w:t>
      </w:r>
    </w:p>
    <w:p>
      <w:pPr>
        <w:spacing w:after="0" w:line="220"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The Trustee may fix a record date and payment date for any payment to Holders pursuant to this Section 6.10. At least 15 days before such record date, the Company shall mail to each Holder and the Trustee a notice that states the record date, the payment date and amount to be paid.</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6.11. </w:t>
      </w:r>
      <w:r>
        <w:rPr>
          <w:rFonts w:ascii="Times New Roman" w:cs="Times New Roman" w:eastAsia="Times New Roman" w:hAnsi="Times New Roman"/>
          <w:sz w:val="22"/>
          <w:szCs w:val="22"/>
          <w:u w:val="single" w:color="auto"/>
          <w:color w:val="auto"/>
        </w:rPr>
        <w:t>Undertaking for Costs</w:t>
      </w:r>
      <w:r>
        <w:rPr>
          <w:rFonts w:ascii="Times New Roman" w:cs="Times New Roman" w:eastAsia="Times New Roman" w:hAnsi="Times New Roman"/>
          <w:sz w:val="22"/>
          <w:szCs w:val="22"/>
          <w:color w:val="auto"/>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then outstanding Notes, or to any suit initiated by any Holder for the enforcement of the payment of any principal of or interest on any Note, on or after its maturity date.</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6.12. </w:t>
      </w:r>
      <w:r>
        <w:rPr>
          <w:rFonts w:ascii="Times New Roman" w:cs="Times New Roman" w:eastAsia="Times New Roman" w:hAnsi="Times New Roman"/>
          <w:sz w:val="22"/>
          <w:szCs w:val="22"/>
          <w:u w:val="single" w:color="auto"/>
          <w:color w:val="auto"/>
        </w:rPr>
        <w:t>Stay, Extension and Usury Laws</w:t>
      </w:r>
      <w:r>
        <w:rPr>
          <w:rFonts w:ascii="Times New Roman" w:cs="Times New Roman" w:eastAsia="Times New Roman" w:hAnsi="Times New Roman"/>
          <w:sz w:val="22"/>
          <w:szCs w:val="22"/>
          <w:color w:val="auto"/>
        </w:rPr>
        <w:t>. The Company and its Restricted Subsidiaries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its Restricted Subsidiaries (to the extent that they may lawfully do so) hereby expressly waive all benefit or advantage of any such law, and covenant that they will not, by resort to any such law, hinder, delay or impede the execution of any power herein</w:t>
      </w:r>
    </w:p>
    <w:p>
      <w:pPr>
        <w:sectPr>
          <w:pgSz w:w="11900" w:h="16838" w:orient="portrait"/>
          <w:cols w:equalWidth="0" w:num="1">
            <w:col w:w="11240"/>
          </w:cols>
          <w:pgMar w:left="320" w:top="142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2"/>
          <w:szCs w:val="22"/>
          <w:color w:val="auto"/>
        </w:rPr>
        <w:t>granted to the Trustee, but will suffer and permit the execution of every such power as though no such law has been enacted.</w:t>
      </w:r>
    </w:p>
    <w:p>
      <w:pPr>
        <w:spacing w:after="0" w:line="22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6.13. </w:t>
      </w:r>
      <w:r>
        <w:rPr>
          <w:rFonts w:ascii="Times New Roman" w:cs="Times New Roman" w:eastAsia="Times New Roman" w:hAnsi="Times New Roman"/>
          <w:sz w:val="22"/>
          <w:szCs w:val="22"/>
          <w:u w:val="single" w:color="auto"/>
          <w:color w:val="auto"/>
        </w:rPr>
        <w:t>Restoration of Rights and Remedies</w:t>
      </w:r>
      <w:r>
        <w:rPr>
          <w:rFonts w:ascii="Times New Roman" w:cs="Times New Roman" w:eastAsia="Times New Roman" w:hAnsi="Times New Roman"/>
          <w:sz w:val="22"/>
          <w:szCs w:val="22"/>
          <w:color w:val="auto"/>
        </w:rPr>
        <w:t>.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any Guarantor,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The Trustee</w:t>
      </w:r>
    </w:p>
    <w:p>
      <w:pPr>
        <w:spacing w:after="0" w:line="20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u w:val="single" w:color="auto"/>
          <w:color w:val="auto"/>
        </w:rPr>
        <w:t>Duties of Trustee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7" w:lineRule="auto"/>
        <w:tabs>
          <w:tab w:leader="none" w:pos="175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7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0" w:lineRule="auto"/>
        <w:tabs>
          <w:tab w:leader="none" w:pos="246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and the Agents shall be determined solely by the express provisions of this Indenture and the Trustee and the Agents need perform only those duties that are specifically set forth in this Indenture and no others, and no implied covenants or obligations shall be read into this Indenture against the Trustee and the Agents and no Agents shall be under any fiduciary duty or have any relationship of agency or trust with any Person other than the Company; and</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8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conclusively rely upon, as to the truth of the statements and the correctness of the opinions expressed therein, certificates or opinions furnished to the Trustee and conforming to the requirements of this Indenture. However, with respect to certificates or opinions specifically required to be furnished to it hereunder, the Trustee may examine the certificates and opinions to determine whether or not they conform to the requirements of this Indenture (but need not confirm or investigate the accuracy of mathematical calculations or other facts stated therein).</w:t>
      </w:r>
    </w:p>
    <w:p>
      <w:pPr>
        <w:spacing w:after="0" w:line="181"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liabilities for its own gross negligence or its own willful default,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that:</w:t>
      </w:r>
    </w:p>
    <w:p>
      <w:pPr>
        <w:spacing w:after="0" w:line="19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paragraph does not limit the effect of Section 7.01(b);</w:t>
      </w:r>
    </w:p>
    <w:p>
      <w:pPr>
        <w:sectPr>
          <w:pgSz w:w="11900" w:h="16838" w:orient="portrait"/>
          <w:cols w:equalWidth="0" w:num="1">
            <w:col w:w="11240"/>
          </w:cols>
          <w:pgMar w:left="320" w:top="1421" w:right="339" w:bottom="1440" w:gutter="0" w:footer="0" w:header="0"/>
        </w:sectPr>
      </w:pPr>
    </w:p>
    <w:bookmarkStart w:id="133" w:name="page134"/>
    <w:bookmarkEnd w:id="133"/>
    <w:p>
      <w:pPr>
        <w:ind w:left="1300" w:firstLine="652"/>
        <w:spacing w:after="0" w:line="271" w:lineRule="auto"/>
        <w:tabs>
          <w:tab w:leader="none" w:pos="2433"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unless it is proved that the Trustee was grossly negligent in ascertaining the pertinent facts;</w:t>
      </w:r>
    </w:p>
    <w:p>
      <w:pPr>
        <w:spacing w:after="0" w:line="157" w:lineRule="exact"/>
        <w:rPr>
          <w:rFonts w:ascii="Times New Roman" w:cs="Times New Roman" w:eastAsia="Times New Roman" w:hAnsi="Times New Roman"/>
          <w:sz w:val="22"/>
          <w:szCs w:val="22"/>
          <w:color w:val="auto"/>
        </w:rPr>
      </w:pPr>
    </w:p>
    <w:p>
      <w:pPr>
        <w:ind w:left="1300" w:firstLine="652"/>
        <w:spacing w:after="0" w:line="284" w:lineRule="auto"/>
        <w:tabs>
          <w:tab w:leader="none" w:pos="2506"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with respect to any action it takes or omits to take in good faith in accordance with a direction received by it pursuant to Section 6.02, 6.04 or 6.05; and</w:t>
      </w:r>
    </w:p>
    <w:p>
      <w:pPr>
        <w:spacing w:after="0" w:line="143" w:lineRule="exact"/>
        <w:rPr>
          <w:rFonts w:ascii="Times New Roman" w:cs="Times New Roman" w:eastAsia="Times New Roman" w:hAnsi="Times New Roman"/>
          <w:sz w:val="22"/>
          <w:szCs w:val="22"/>
          <w:color w:val="auto"/>
        </w:rPr>
      </w:pPr>
    </w:p>
    <w:p>
      <w:pPr>
        <w:jc w:val="both"/>
        <w:ind w:left="1300" w:firstLine="652"/>
        <w:spacing w:after="0" w:line="253" w:lineRule="auto"/>
        <w:tabs>
          <w:tab w:leader="none" w:pos="2478"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will require the Trustee to expend or risk its own funds or otherwise incur financial liability in the performance of any of its duties hereunder or in the exercise of any of its rights or powers, if it shall have reasonable grounds to believe that repayment of such funds or adequate indemnity against such risk or liability is not reasonably assured to it, it being understood that the Trustee shall not be required to advance its own funds in connection with its duties and responsibilities as Trustee.</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777"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therein expressly so provided, every provision of this Indenture that in any way relates to the Trustee is subject to paragraphs (a), (b), and (c) of this Section 7.01.</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8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its rights and powers under this Indenture or the Intercreditor Agreement at the request of any Holders, unless such Holders have provided to the Trustee security and/or prefunding and/or indemnity satisfactory to it against any loss, liability or expense.</w:t>
      </w:r>
    </w:p>
    <w:p>
      <w:pPr>
        <w:spacing w:after="0" w:line="186" w:lineRule="exact"/>
        <w:rPr>
          <w:rFonts w:ascii="Times New Roman" w:cs="Times New Roman" w:eastAsia="Times New Roman" w:hAnsi="Times New Roman"/>
          <w:sz w:val="22"/>
          <w:szCs w:val="22"/>
          <w:color w:val="auto"/>
        </w:rPr>
      </w:pPr>
    </w:p>
    <w:p>
      <w:pPr>
        <w:ind w:firstLine="1304"/>
        <w:spacing w:after="0" w:line="271" w:lineRule="auto"/>
        <w:tabs>
          <w:tab w:leader="none" w:pos="175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the Agents shall not be liable for interest on any money received by it except as the Trustee may agree in writing with the Company.</w:t>
      </w:r>
    </w:p>
    <w:p>
      <w:pPr>
        <w:spacing w:after="0" w:line="158"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Rights of Trustee</w:t>
      </w:r>
      <w:r>
        <w:rPr>
          <w:rFonts w:ascii="Times New Roman" w:cs="Times New Roman" w:eastAsia="Times New Roman" w:hAnsi="Times New Roman"/>
          <w:sz w:val="22"/>
          <w:szCs w:val="22"/>
          <w:color w:val="auto"/>
        </w:rPr>
        <w:t>. The Trustee and each Agent may conclusively rely without further investigation or verification, and shall be protected in acting or refraining from acting, upon any resolution, certificate, statement, instrument, opinion, report, notice, request, direction, consent, order, bond, debenture, note, other evidence of indebtedness or other paper or document, whether in original, facsimile or electronic form, believed by it to be genuine and to have been signed or presented by the proper person. In the event that the Trustee or any Agent receives conflicting, unclear or equivocal instructions, the Trustee or the relevant Agent (as the case may be) shall be entitled to take no action until such instructions have been resolved or clarified to its satisfaction and the Trustee or the relevant Agent (as the case may be) shall not become liable in any way to any person for any failure to comply with such conflicting, unclear or equivocal instructions.</w:t>
      </w:r>
    </w:p>
    <w:p>
      <w:pPr>
        <w:spacing w:after="0" w:line="195" w:lineRule="exact"/>
        <w:rPr>
          <w:sz w:val="20"/>
          <w:szCs w:val="20"/>
          <w:color w:val="auto"/>
        </w:rPr>
      </w:pPr>
    </w:p>
    <w:p>
      <w:pPr>
        <w:jc w:val="both"/>
        <w:ind w:firstLine="1304"/>
        <w:spacing w:after="0" w:line="257" w:lineRule="auto"/>
        <w:tabs>
          <w:tab w:leader="none" w:pos="188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attorneys, delegates and/or agents and shall not be responsible for the misconduct or negligence of any attorney, delegate, depositary or agent appointed with due care or for supervising any such attorney, delegate, depositary or agent.</w:t>
      </w:r>
    </w:p>
    <w:p>
      <w:pPr>
        <w:spacing w:after="0" w:line="172" w:lineRule="exact"/>
        <w:rPr>
          <w:rFonts w:ascii="Times New Roman" w:cs="Times New Roman" w:eastAsia="Times New Roman" w:hAnsi="Times New Roman"/>
          <w:sz w:val="22"/>
          <w:szCs w:val="22"/>
          <w:color w:val="auto"/>
        </w:rPr>
      </w:pPr>
    </w:p>
    <w:p>
      <w:pPr>
        <w:ind w:right="20" w:firstLine="1304"/>
        <w:spacing w:after="0" w:line="271" w:lineRule="auto"/>
        <w:tabs>
          <w:tab w:leader="none" w:pos="184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it takes or omits to take in good faith that it believes to be authorized or within the rights or powers conferred upon it by</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57" w:lineRule="auto"/>
        <w:rPr>
          <w:sz w:val="20"/>
          <w:szCs w:val="20"/>
          <w:color w:val="auto"/>
        </w:rPr>
      </w:pPr>
      <w:r>
        <w:rPr>
          <w:rFonts w:ascii="Times New Roman" w:cs="Times New Roman" w:eastAsia="Times New Roman" w:hAnsi="Times New Roman"/>
          <w:sz w:val="22"/>
          <w:szCs w:val="22"/>
          <w:color w:val="auto"/>
        </w:rPr>
        <w:t>this Indenture. Before the Trustee acts or refrains from acting, it may require an Officer’s Certificate and/or an Opinion of Counsel from the Company. The Trustee shall not be liable for any action it takes in good faith in reliance upon such certificate or opinion.</w:t>
      </w:r>
    </w:p>
    <w:p>
      <w:pPr>
        <w:spacing w:after="0" w:line="186" w:lineRule="exact"/>
        <w:rPr>
          <w:sz w:val="20"/>
          <w:szCs w:val="20"/>
          <w:color w:val="auto"/>
        </w:rPr>
      </w:pPr>
    </w:p>
    <w:p>
      <w:pPr>
        <w:ind w:firstLine="1304"/>
        <w:spacing w:after="0" w:line="271" w:lineRule="auto"/>
        <w:tabs>
          <w:tab w:leader="none" w:pos="1815"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specifically provided in this Indenture, any demand, request, direction or notice from the Company will be sufficient if signed by an Officer of the Company.</w:t>
      </w:r>
    </w:p>
    <w:p>
      <w:pPr>
        <w:spacing w:after="0" w:line="157" w:lineRule="exact"/>
        <w:rPr>
          <w:rFonts w:ascii="Times New Roman" w:cs="Times New Roman" w:eastAsia="Times New Roman" w:hAnsi="Times New Roman"/>
          <w:sz w:val="22"/>
          <w:szCs w:val="22"/>
          <w:color w:val="auto"/>
        </w:rPr>
      </w:pPr>
    </w:p>
    <w:p>
      <w:pPr>
        <w:jc w:val="both"/>
        <w:ind w:firstLine="1304"/>
        <w:spacing w:after="0" w:line="265" w:lineRule="auto"/>
        <w:tabs>
          <w:tab w:leader="none" w:pos="1814"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bound to make any investigation into the facts or matters stated in any resolution, certificate, statement, instrument, opinion, report, notice, request, consent, direction, order, approval, bond, debenture, note, other evidence of indebtedness or other paper or document but the Trustee in its sole and absolute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expense of the Company, and shall incur no liability of any kind by reason of such inquiry or investigation.</w:t>
      </w:r>
    </w:p>
    <w:p>
      <w:pPr>
        <w:spacing w:after="0" w:line="168"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6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duty to inquire as to the Company’s performance of the covenants in Article IV. In addition, the Trustee shall not be deemed to have knowledge of any Default or Event of Default except any Default or Event of Default of which a Responsible Officer of the Trustee has received written notification identifying the Notes or Indenture or obtained actual knowledge. The Trustee shall be under no obligation to monitor financial performance of the Company.</w:t>
      </w:r>
    </w:p>
    <w:p>
      <w:pPr>
        <w:spacing w:after="0" w:line="17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87"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Trustee, the Agents nor any clearing system through which the Notes are traded shall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of any transfer, exchange, redemption, purchase or repurchase, as applicable, of interest in any Note.</w:t>
      </w:r>
    </w:p>
    <w:p>
      <w:pPr>
        <w:spacing w:after="0" w:line="178" w:lineRule="exact"/>
        <w:rPr>
          <w:rFonts w:ascii="Times New Roman" w:cs="Times New Roman" w:eastAsia="Times New Roman" w:hAnsi="Times New Roman"/>
          <w:sz w:val="22"/>
          <w:szCs w:val="22"/>
          <w:color w:val="auto"/>
        </w:rPr>
      </w:pPr>
    </w:p>
    <w:p>
      <w:pPr>
        <w:ind w:firstLine="1304"/>
        <w:spacing w:after="0" w:line="271" w:lineRule="auto"/>
        <w:tabs>
          <w:tab w:leader="none" w:pos="183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not required to give any bond or surety with respect to the performance of its duties or the exercise of its powers under this Indenture.</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Trustee or any Agent receives inconsistent or conflicting requests and indemnity from two or more groups of Holders, each representing less than a majority in aggregate principal amount of the Notes then outstanding, pursuant to the provisions of this Indenture, the Trustee or any such Agent, each in its sole discretion, as applicable, may determine what action, if any, will be taken and the Trustee and any such Agent shall not incur any liability for failure to act until such inconsistency or conflict is, in its reasonable opinion, resolved.</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permissive right of the Trustee to take the actions enumerated in this Indenture or the Intercreditor Agreement will not be construed as an obligation or duty to do so and the Trustee will not be answerable other than for its own gross negligence or willful default.</w:t>
      </w:r>
    </w:p>
    <w:p>
      <w:pPr>
        <w:sectPr>
          <w:pgSz w:w="11900" w:h="16838" w:orient="portrait"/>
          <w:cols w:equalWidth="0" w:num="1">
            <w:col w:w="11240"/>
          </w:cols>
          <w:pgMar w:left="320" w:top="1421" w:right="339" w:bottom="1440" w:gutter="0" w:footer="0" w:header="0"/>
        </w:sectPr>
      </w:pPr>
    </w:p>
    <w:bookmarkStart w:id="135" w:name="page136"/>
    <w:bookmarkEnd w:id="135"/>
    <w:p>
      <w:pPr>
        <w:jc w:val="both"/>
        <w:ind w:left="-1120" w:firstLine="1304"/>
        <w:spacing w:after="0" w:line="272" w:lineRule="auto"/>
        <w:tabs>
          <w:tab w:leader="none" w:pos="75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reports, information and documents to the Trustee under Section 4.03 is for informational purposes only and the Trustee’s receipt of the foregoing will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Opinions of Counsel, as applicable).</w:t>
      </w:r>
    </w:p>
    <w:p>
      <w:pPr>
        <w:spacing w:after="0" w:line="160" w:lineRule="exact"/>
        <w:rPr>
          <w:rFonts w:ascii="Times New Roman" w:cs="Times New Roman" w:eastAsia="Times New Roman" w:hAnsi="Times New Roman"/>
          <w:sz w:val="21"/>
          <w:szCs w:val="21"/>
          <w:color w:val="auto"/>
        </w:rPr>
      </w:pPr>
    </w:p>
    <w:p>
      <w:pPr>
        <w:jc w:val="both"/>
        <w:ind w:left="-1120" w:firstLine="1304"/>
        <w:spacing w:after="0" w:line="251" w:lineRule="auto"/>
        <w:tabs>
          <w:tab w:leader="none" w:pos="74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indemnities and benefits given to, and disclaimers of, the Trustee, including, without limitation, its right to be indemnified and/or secured, are extended to, and will be enforceable by, the Trustee in each of its capacities hereunder and each agent (including the Agents and the Depositary), custodian and other Person employed to act hereunder (including GLAS Trust Company LLC in all its appointments under this Indenture). Absent willful misconduct or gross negligence, each Agent shall not be liable for acting in good faith on instructions believed by it to be genuine and from the proper party.</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765"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92" w:lineRule="exact"/>
        <w:rPr>
          <w:rFonts w:ascii="Times New Roman" w:cs="Times New Roman" w:eastAsia="Times New Roman" w:hAnsi="Times New Roman"/>
          <w:sz w:val="22"/>
          <w:szCs w:val="22"/>
          <w:color w:val="auto"/>
        </w:rPr>
      </w:pPr>
    </w:p>
    <w:p>
      <w:pPr>
        <w:jc w:val="both"/>
        <w:ind w:left="-1120" w:firstLine="1304"/>
        <w:spacing w:after="0" w:line="252" w:lineRule="auto"/>
        <w:tabs>
          <w:tab w:leader="none" w:pos="72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will the Trustee or any Agent be liable to the Company or any other Person for any indirect, punitive or consequential loss (including, but not limited to, loss of business, goodwill, opportunities or profit) even if advised of the possibility of such loss or damage and regardless of whether the claim for loss or damage is made in negligence, for breach of contract or otherwise.</w:t>
      </w:r>
    </w:p>
    <w:p>
      <w:pPr>
        <w:spacing w:after="0" w:line="179" w:lineRule="exact"/>
        <w:rPr>
          <w:rFonts w:ascii="Times New Roman" w:cs="Times New Roman" w:eastAsia="Times New Roman" w:hAnsi="Times New Roman"/>
          <w:sz w:val="22"/>
          <w:szCs w:val="22"/>
          <w:color w:val="auto"/>
        </w:rPr>
      </w:pPr>
    </w:p>
    <w:p>
      <w:pPr>
        <w:ind w:left="-1120" w:firstLine="1304"/>
        <w:spacing w:after="0" w:line="284" w:lineRule="auto"/>
        <w:tabs>
          <w:tab w:leader="none" w:pos="684"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the Agents will be entitled to assume, without inquiry, that the Company has performed in accordance with all the provisions of this Indenture or the Intercreditor Agreement, unless notified to the contrary.</w:t>
      </w:r>
    </w:p>
    <w:p>
      <w:pPr>
        <w:spacing w:after="0" w:line="143" w:lineRule="exact"/>
        <w:rPr>
          <w:rFonts w:ascii="Times New Roman" w:cs="Times New Roman" w:eastAsia="Times New Roman" w:hAnsi="Times New Roman"/>
          <w:sz w:val="22"/>
          <w:szCs w:val="22"/>
          <w:color w:val="auto"/>
        </w:rPr>
      </w:pPr>
    </w:p>
    <w:p>
      <w:pPr>
        <w:jc w:val="both"/>
        <w:ind w:left="-1120" w:firstLine="1304"/>
        <w:spacing w:after="0" w:line="251" w:lineRule="auto"/>
        <w:tabs>
          <w:tab w:leader="none" w:pos="73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without liability refrain from taking any action in any jurisdiction if the taking of such action would or might, in its opinion based upon legal advice, be contrary to any law of any state or jurisdiction (including, but not limited to, Germany, Luxembourg, the European Union, the United States of America or, in each case, any jurisdiction forming part of it, or England and Wales) or any directive or regulation of any state or jurisdiction. Furthermore, the Trustee may without liability do anything which is in its opinion based upon such legal advice necessary to comply with any such law, directive or regulation.</w:t>
      </w:r>
    </w:p>
    <w:p>
      <w:pPr>
        <w:spacing w:after="0" w:line="181" w:lineRule="exact"/>
        <w:rPr>
          <w:rFonts w:ascii="Times New Roman" w:cs="Times New Roman" w:eastAsia="Times New Roman" w:hAnsi="Times New Roman"/>
          <w:sz w:val="22"/>
          <w:szCs w:val="22"/>
          <w:color w:val="auto"/>
        </w:rPr>
      </w:pPr>
    </w:p>
    <w:p>
      <w:pPr>
        <w:jc w:val="both"/>
        <w:ind w:left="-1120" w:firstLine="1304"/>
        <w:spacing w:after="0" w:line="253" w:lineRule="auto"/>
        <w:tabs>
          <w:tab w:leader="none" w:pos="76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or an Opinion of Counsel or both. The Trustee and any Agent may retain professional advisors to assist them in performing their duties. The Trustee and any Agent may consult with counsel or other professional advisors and the advice of such counsel or any Opinion of Counsel will be full and complete authorization and protection from liability in respect of any action taken, suffered or omitted by it hereunder in good faith and in reliance thereon.</w:t>
      </w:r>
    </w:p>
    <w:p>
      <w:pPr>
        <w:sectPr>
          <w:pgSz w:w="11900" w:h="16838" w:orient="portrait"/>
          <w:cols w:equalWidth="0" w:num="1">
            <w:col w:w="10120"/>
          </w:cols>
          <w:pgMar w:left="1440" w:top="1421" w:right="339" w:bottom="1440" w:gutter="0" w:footer="0" w:header="0"/>
        </w:sectPr>
      </w:pPr>
    </w:p>
    <w:bookmarkStart w:id="136" w:name="page137"/>
    <w:bookmarkEnd w:id="136"/>
    <w:p>
      <w:pPr>
        <w:jc w:val="both"/>
        <w:ind w:firstLine="1304"/>
        <w:spacing w:after="0" w:line="251" w:lineRule="auto"/>
        <w:tabs>
          <w:tab w:leader="none" w:pos="1771"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or any Agent be responsible or liable for any failure or delay in the performance of its obligations hereunder arising out of or caused directly or indirectly by a force majeure event, including, but not limited to acts of war or terrorism involving the United States, the United Kingdom or any member state of the European Monetary Union or any other national or international calamity or emergency (including natural disasters or acts of God), it being understood that the Trustee shall use reasonable efforts which are consistent with accepted practices in the banking industry to resume performance as soon as practicable under the circumstances.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47"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will not be liable to any Person if prevented or delayed in performing any of their obligations or discretionary functions under this Indenture by reason of any present or future law applicable to them, by any governmental or regulatory authority or by any circumstances beyond their control.</w:t>
      </w:r>
    </w:p>
    <w:p>
      <w:pPr>
        <w:spacing w:after="0" w:line="16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4"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that the security granted pursuant to the Security Documents has become enforceable and the Holders have given a direction to the Trustee to enforce such Collateral, the Trustee is not required to give any direction to the Security Agent with respect thereto unless it has been indemnified, prefunded and/or secured in accordance with Section 7.01(e). In any event, in connection with any enforcement of such security, the Trustee is not responsible for:</w:t>
      </w:r>
    </w:p>
    <w:p>
      <w:pPr>
        <w:spacing w:after="0" w:line="17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Security Agent to enforce such security within a reasonable time or at all;</w:t>
      </w:r>
    </w:p>
    <w:p>
      <w:pPr>
        <w:spacing w:after="0" w:line="23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Security Agent to pay over the proceeds of enforcement of the Collateral;</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failure of the Security Agent to realize such security for the best price obtainable;</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monitoring the activities of the Security Agent in relation to such enforcement;</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taking any enforcement action itself in relation to such security;</w:t>
      </w:r>
    </w:p>
    <w:p>
      <w:pPr>
        <w:spacing w:after="0" w:line="219" w:lineRule="exact"/>
        <w:rPr>
          <w:rFonts w:ascii="Times New Roman" w:cs="Times New Roman" w:eastAsia="Times New Roman" w:hAnsi="Times New Roman"/>
          <w:sz w:val="22"/>
          <w:szCs w:val="22"/>
          <w:color w:val="auto"/>
        </w:rPr>
      </w:pPr>
    </w:p>
    <w:p>
      <w:pPr>
        <w:ind w:left="1300" w:firstLine="652"/>
        <w:spacing w:after="0" w:line="284" w:lineRule="auto"/>
        <w:tabs>
          <w:tab w:leader="none" w:pos="2491"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agreeing to any proposed course of action by the Security Agent which could result in the Trustee incurring any liability for its own account; or</w:t>
      </w:r>
    </w:p>
    <w:p>
      <w:pPr>
        <w:spacing w:after="0" w:line="143"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paying any fees, costs or expenses of the Security Agent.</w:t>
      </w:r>
    </w:p>
    <w:p>
      <w:pPr>
        <w:spacing w:after="0" w:line="22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Individual Rights of Trustee</w:t>
      </w:r>
      <w:r>
        <w:rPr>
          <w:rFonts w:ascii="Times New Roman" w:cs="Times New Roman" w:eastAsia="Times New Roman" w:hAnsi="Times New Roman"/>
          <w:sz w:val="22"/>
          <w:szCs w:val="22"/>
          <w:color w:val="auto"/>
        </w:rPr>
        <w:t>. The Trustee in its individual or any other capacity may become the owner or pledgee of Notes and may otherwise deal with the Company or any of their respective Affiliates or Subsidiaries with the same rights it would have if it were not Trustee. However, in the event that the Trustee acquires any conflicting interests it must eliminate such conflict within 90 days, or resign. Any Agent (or their affiliates) may do the same with like rights. The Trustee is also subject to Section 7.10.</w:t>
      </w:r>
    </w:p>
    <w:p>
      <w:pPr>
        <w:sectPr>
          <w:pgSz w:w="11900" w:h="16838" w:orient="portrait"/>
          <w:cols w:equalWidth="0" w:num="1">
            <w:col w:w="11240"/>
          </w:cols>
          <w:pgMar w:left="320" w:top="1421" w:right="339" w:bottom="1440" w:gutter="0" w:footer="0" w:header="0"/>
        </w:sectPr>
      </w:pPr>
    </w:p>
    <w:bookmarkStart w:id="137" w:name="page138"/>
    <w:bookmarkEnd w:id="137"/>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u w:val="single" w:color="auto"/>
          <w:color w:val="auto"/>
        </w:rPr>
        <w:t>Trustee’s Disclaimer</w:t>
      </w:r>
      <w:r>
        <w:rPr>
          <w:rFonts w:ascii="Times New Roman" w:cs="Times New Roman" w:eastAsia="Times New Roman" w:hAnsi="Times New Roman"/>
          <w:sz w:val="22"/>
          <w:szCs w:val="22"/>
          <w:color w:val="auto"/>
        </w:rPr>
        <w:t>. The Trustee will not be responsible for and makes no representation as to the validity or adequacy of this Indenture, the Notes or any Note Guarantee and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The Trustee makes no representations as to the validity or sufficiency of this Indenture or of the Notes, except that the Trustee represents that it is duly authorized to execute and deliver this Indenture, authenticate the Notes and perform its obligations hereunder. The Trustee shall not be accountable for the use or application by the Company of Notes or the proceeds thereof or the use or application of any money received by any Paying Agent other than the Trustee.</w:t>
      </w:r>
    </w:p>
    <w:p>
      <w:pPr>
        <w:spacing w:after="0" w:line="18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7.05. </w:t>
      </w:r>
      <w:r>
        <w:rPr>
          <w:rFonts w:ascii="Times New Roman" w:cs="Times New Roman" w:eastAsia="Times New Roman" w:hAnsi="Times New Roman"/>
          <w:sz w:val="22"/>
          <w:szCs w:val="22"/>
          <w:u w:val="single" w:color="auto"/>
          <w:color w:val="auto"/>
        </w:rPr>
        <w:t>Notice of Defaults</w:t>
      </w:r>
      <w:r>
        <w:rPr>
          <w:rFonts w:ascii="Times New Roman" w:cs="Times New Roman" w:eastAsia="Times New Roman" w:hAnsi="Times New Roman"/>
          <w:sz w:val="22"/>
          <w:szCs w:val="22"/>
          <w:color w:val="auto"/>
        </w:rPr>
        <w:t>. If a Default occurs and is continuing and is known to the Trustee (through the Company having so notified the Trustee), the Trustee shall mail to the Holders a notice of the Default within 60 days after being notified by the Company.</w:t>
      </w:r>
    </w:p>
    <w:p>
      <w:pPr>
        <w:spacing w:after="0" w:line="17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7.06.</w:t>
      </w:r>
      <w:r>
        <w:rPr>
          <w:sz w:val="20"/>
          <w:szCs w:val="20"/>
          <w:color w:val="auto"/>
        </w:rPr>
        <w:tab/>
      </w:r>
      <w:r>
        <w:rPr>
          <w:rFonts w:ascii="Times New Roman" w:cs="Times New Roman" w:eastAsia="Times New Roman" w:hAnsi="Times New Roman"/>
          <w:sz w:val="21"/>
          <w:szCs w:val="21"/>
          <w:u w:val="single" w:color="auto"/>
          <w:color w:val="auto"/>
        </w:rPr>
        <w:t>[Intentionally Omitted]</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u w:val="single" w:color="auto"/>
          <w:color w:val="auto"/>
        </w:rPr>
        <w:t>Compensation and Indemnity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75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Guarantor, jointly and severally, shall pay to the Trustee and the Agents from time to time such fees, costs, expenses and compensation for its acceptance of this Indenture and services hereunder as shall from time to time be separately agreed in writing between the Company and the Trustee. The Trustee’s compensation will not be limited by any law on compensation of a trustee of an express trust. The Company and each Guarantor, jointly and severally, shall reimburse the Trustee and the Agents promptly upon request for all disbursements, advances and expenses incurred or made by it, including costs of collection, any additional fees the Trustee and the Agents may incur acting after a Default or an Event of Default and any fees the Trustee and the Agents may incur in connection with exceptional duties in relation thereto, in addition to the compensation for its services. Such expenses will include the properly incurred compensation, disbursements, expenses and advances of the Trustee’s agents, counsel, accountants and experts.</w:t>
      </w:r>
    </w:p>
    <w:p>
      <w:pPr>
        <w:spacing w:after="0" w:line="198"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45"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Guarantor, jointly and severally, shall indemnify the Trustee and the Agents, and hold them harmless, against any and all losses, claims, damages, liabilities or expenses (including properly incurred attorney’s fees) incurred by it arising out of or in connection with the acceptance or administration of this trust and its duties under this Indenture or under the Intercreditor Agreement, including the costs and expenses of enforcing this Indenture against the Company (including this Section 7.07) and defending themselves against any claim (whether asserted by the Company, or any Holder or any other Person) or liability in connection with the exercise or performance of any of its powers or duties hereunder. The Trustee and the Agents shall notify the Company promptly of any claim for which it may seek indemnity. Failure by the Trustee and the Agents to so notify the Company shall not relieve</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Company of its obligations hereunder. At the Trustee’s sole discretion, the Company shall defend the claim and the Trustee and the Agents shall provide reasonable cooperation and may participate at the Company’s expense in the defense. Alternatively, the Trustee and the Agents may at its option have separate counsel of its own choosing and the Company shall pay the properly incurred fees and expenses of such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pay such fees and expenses if, at the discretion of the Trustee, it assumes the Trustee’s defense and there is, in the opinion of the Trustee, no conflict of interest between the Company and the Trustee in connection with such defense and no Default or Event of Default has occurred and is continuing. The Company need not pay for any settlement made without its written consent, which consent shall not be unreasonably withheld. The Company need not reimburse any expense or indemnify against any loss or liability to the extent incurred by the Trustee through its gross negligence or willful default.</w:t>
      </w:r>
    </w:p>
    <w:p>
      <w:pPr>
        <w:spacing w:after="0" w:line="180" w:lineRule="exact"/>
        <w:rPr>
          <w:sz w:val="20"/>
          <w:szCs w:val="20"/>
          <w:color w:val="auto"/>
        </w:rPr>
      </w:pPr>
    </w:p>
    <w:p>
      <w:pPr>
        <w:jc w:val="both"/>
        <w:ind w:firstLine="1304"/>
        <w:spacing w:after="0" w:line="257" w:lineRule="auto"/>
        <w:tabs>
          <w:tab w:leader="none" w:pos="1788"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Company and the Guarantors under this Section 7.07 and any Lien arising hereunder will survive the resignation or removal of the Trustee or an Agent, the discharge of the Company’s obligations pursuant to Article X or the termination of this Indenture.</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9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Company’s payment obligations in this Section 7.07, the Trustee will have a Lien prior to the Notes on all money or property held or collected by the Trustee, except that held to pay principal and interest on particular Notes. Such Lien will survive the satisfaction and discharge of this Indenture.</w:t>
      </w:r>
    </w:p>
    <w:p>
      <w:pPr>
        <w:spacing w:after="0" w:line="167"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the Trustee incurs expenses or renders services after an Event of Default specified in Section 6.01(a)</w:t>
      </w:r>
    </w:p>
    <w:p>
      <w:pPr>
        <w:spacing w:after="0" w:line="27" w:lineRule="exact"/>
        <w:rPr>
          <w:rFonts w:ascii="Times New Roman" w:cs="Times New Roman" w:eastAsia="Times New Roman" w:hAnsi="Times New Roman"/>
          <w:sz w:val="22"/>
          <w:szCs w:val="22"/>
          <w:color w:val="auto"/>
        </w:rPr>
      </w:pPr>
    </w:p>
    <w:p>
      <w:pPr>
        <w:ind w:right="20" w:firstLine="8"/>
        <w:spacing w:after="0" w:line="248" w:lineRule="auto"/>
        <w:tabs>
          <w:tab w:leader="none" w:pos="326"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occurs, the expenses and the compensation for the services (including the fees and expenses of its agents and counsel) are intended to constitute expenses of administration under any Bankruptcy Law.</w:t>
      </w:r>
    </w:p>
    <w:p>
      <w:pPr>
        <w:spacing w:after="0" w:line="18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85"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rights, privileges, protections, immunities and benefits given to the Trustee and the Agents under this Section 7.07, including its rights to be indemnified, are extended to and shall be enforced by the Trustee in each of its capacities hereunder and by each Agent.</w:t>
      </w:r>
    </w:p>
    <w:p>
      <w:pPr>
        <w:spacing w:after="0" w:line="167"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7.08.</w:t>
      </w:r>
      <w:r>
        <w:rPr>
          <w:sz w:val="20"/>
          <w:szCs w:val="20"/>
          <w:color w:val="auto"/>
        </w:rPr>
        <w:tab/>
      </w:r>
      <w:r>
        <w:rPr>
          <w:rFonts w:ascii="Times New Roman" w:cs="Times New Roman" w:eastAsia="Times New Roman" w:hAnsi="Times New Roman"/>
          <w:sz w:val="21"/>
          <w:szCs w:val="21"/>
          <w:u w:val="single" w:color="auto"/>
          <w:color w:val="auto"/>
        </w:rPr>
        <w:t>Replacement of Trustee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71" w:lineRule="auto"/>
        <w:tabs>
          <w:tab w:leader="none" w:pos="1791"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resignation or removal of the Trustee and appointment of a successor Trustee will become effective only upon the successor Trustee’s acceptance of appointment as provided in this Section 7.08.</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0"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resign in writing at any time and be discharged from the trust hereby created by so notifying the Company. The Holders of a majority in principal amount of the then outstanding Notes may remove the Trustee by so notifying the Trustee and the Company in writing. The Company may remove the Trustee, or any Holder who has been a bona fide Holder for not less than six months may petition any court for the removal of the Trustee and the appointment of a successor Trustee, if:</w:t>
      </w:r>
    </w:p>
    <w:p>
      <w:pPr>
        <w:sectPr>
          <w:pgSz w:w="11900" w:h="16838" w:orient="portrait"/>
          <w:cols w:equalWidth="0" w:num="1">
            <w:col w:w="11240"/>
          </w:cols>
          <w:pgMar w:left="320" w:top="1421" w:right="339" w:bottom="1440" w:gutter="0" w:footer="0" w:header="0"/>
        </w:sectPr>
      </w:pPr>
    </w:p>
    <w:bookmarkStart w:id="139" w:name="page140"/>
    <w:bookmarkEnd w:id="139"/>
    <w:p>
      <w:pPr>
        <w:ind w:left="1300" w:hanging="468"/>
        <w:spacing w:after="0"/>
        <w:tabs>
          <w:tab w:leader="none" w:pos="130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fails to comply with Section 7.10;</w:t>
      </w:r>
    </w:p>
    <w:p>
      <w:pPr>
        <w:spacing w:after="0" w:line="219" w:lineRule="exact"/>
        <w:rPr>
          <w:rFonts w:ascii="Times New Roman" w:cs="Times New Roman" w:eastAsia="Times New Roman" w:hAnsi="Times New Roman"/>
          <w:sz w:val="22"/>
          <w:szCs w:val="22"/>
          <w:color w:val="auto"/>
        </w:rPr>
      </w:pPr>
    </w:p>
    <w:p>
      <w:pPr>
        <w:ind w:left="180" w:right="20" w:firstLine="652"/>
        <w:spacing w:after="0" w:line="271" w:lineRule="auto"/>
        <w:tabs>
          <w:tab w:leader="none" w:pos="1322"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a bankrupt or an insolvent or an order for relief is entered with respect to the Trustee under any Bankruptcy Law;</w:t>
      </w:r>
    </w:p>
    <w:p>
      <w:pPr>
        <w:spacing w:after="0" w:line="171"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custodian or public officer takes charge of the Trustee or its property;</w:t>
      </w:r>
    </w:p>
    <w:p>
      <w:pPr>
        <w:spacing w:after="0" w:line="219"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 or</w:t>
      </w:r>
    </w:p>
    <w:p>
      <w:pPr>
        <w:spacing w:after="0" w:line="219" w:lineRule="exact"/>
        <w:rPr>
          <w:rFonts w:ascii="Times New Roman" w:cs="Times New Roman" w:eastAsia="Times New Roman" w:hAnsi="Times New Roman"/>
          <w:sz w:val="22"/>
          <w:szCs w:val="22"/>
          <w:color w:val="auto"/>
        </w:rPr>
      </w:pPr>
    </w:p>
    <w:p>
      <w:pPr>
        <w:ind w:left="1300" w:hanging="468"/>
        <w:spacing w:after="0"/>
        <w:tabs>
          <w:tab w:leader="none" w:pos="1300"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or acquires a conflict of interest that this is not eliminated.</w:t>
      </w:r>
    </w:p>
    <w:p>
      <w:pPr>
        <w:spacing w:after="0" w:line="219" w:lineRule="exact"/>
        <w:rPr>
          <w:rFonts w:ascii="Times New Roman" w:cs="Times New Roman" w:eastAsia="Times New Roman" w:hAnsi="Times New Roman"/>
          <w:sz w:val="22"/>
          <w:szCs w:val="22"/>
          <w:color w:val="auto"/>
        </w:rPr>
      </w:pPr>
    </w:p>
    <w:p>
      <w:pPr>
        <w:jc w:val="both"/>
        <w:ind w:left="-1120" w:firstLine="1304"/>
        <w:spacing w:after="0" w:line="256" w:lineRule="auto"/>
        <w:tabs>
          <w:tab w:leader="none" w:pos="77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spacing w:after="0" w:line="176" w:lineRule="exact"/>
        <w:rPr>
          <w:rFonts w:ascii="Times New Roman" w:cs="Times New Roman" w:eastAsia="Times New Roman" w:hAnsi="Times New Roman"/>
          <w:sz w:val="22"/>
          <w:szCs w:val="22"/>
          <w:color w:val="auto"/>
        </w:rPr>
      </w:pPr>
    </w:p>
    <w:p>
      <w:pPr>
        <w:jc w:val="both"/>
        <w:ind w:left="-1120" w:firstLine="1304"/>
        <w:spacing w:after="0" w:line="250" w:lineRule="auto"/>
        <w:tabs>
          <w:tab w:leader="none" w:pos="70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covenants that, in the event of the Trustee giving reasonable notice pursuant to this Section 7.08, it shall use its reasonable best efforts to procure a successor Trustee to be appointed. If a successor Trustee is not appointed and does not take office within 30 days after the retiring Trustee resigns or is removed, the retiring Trustee may appoint a successor Trustee at any time prior to the date on which a successor Trustee takes office. If a successor Trustee does not take office within 60 days after the retiring Trustee resigns or is removed, the retiring Trustee, the Company or the Holders of at least 25% in outstanding principal amount of the Notes may petition any court of competent jurisdiction for the appointment of a successor Trustee at the expense of the Company.</w:t>
      </w:r>
    </w:p>
    <w:p>
      <w:pPr>
        <w:spacing w:after="0" w:line="180" w:lineRule="exact"/>
        <w:rPr>
          <w:rFonts w:ascii="Times New Roman" w:cs="Times New Roman" w:eastAsia="Times New Roman" w:hAnsi="Times New Roman"/>
          <w:sz w:val="22"/>
          <w:szCs w:val="22"/>
          <w:color w:val="auto"/>
        </w:rPr>
      </w:pPr>
    </w:p>
    <w:p>
      <w:pPr>
        <w:jc w:val="both"/>
        <w:ind w:left="-1120" w:firstLine="1304"/>
        <w:spacing w:after="0" w:line="263" w:lineRule="auto"/>
        <w:tabs>
          <w:tab w:leader="none" w:pos="71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67" w:lineRule="exact"/>
        <w:rPr>
          <w:rFonts w:ascii="Times New Roman" w:cs="Times New Roman" w:eastAsia="Times New Roman" w:hAnsi="Times New Roman"/>
          <w:sz w:val="22"/>
          <w:szCs w:val="22"/>
          <w:color w:val="auto"/>
        </w:rPr>
      </w:pPr>
    </w:p>
    <w:p>
      <w:pPr>
        <w:jc w:val="both"/>
        <w:ind w:left="-1120" w:firstLine="1304"/>
        <w:spacing w:after="0" w:line="249" w:lineRule="auto"/>
        <w:tabs>
          <w:tab w:leader="none" w:pos="670"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successor Trustee shall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shall mail a notice of its succession to Holders. The retiring Trustee shall promptly transfer all property held by it as Trustee to the successor Trustee; provided that all sums owing to the Trustee hereunder have been paid and subject to the Lien provided for in Section 7.07. Notwithstanding replacement of the Trustee pursuant to this Section 7.08, the Company’s obligations under Section 7.07 will continue for the benefit of the retiring Trustee or Agent as the case may be, and the Company shall pay to any replaced or removed Trustee or Agent all amounts owed under Section 7.07 upon such replacement or removal.</w:t>
      </w:r>
    </w:p>
    <w:p>
      <w:pPr>
        <w:sectPr>
          <w:pgSz w:w="11900" w:h="16838" w:orient="portrait"/>
          <w:cols w:equalWidth="0" w:num="1">
            <w:col w:w="10120"/>
          </w:cols>
          <w:pgMar w:left="1440" w:top="1421" w:right="339" w:bottom="1440" w:gutter="0" w:footer="0" w:header="0"/>
        </w:sectPr>
      </w:pPr>
    </w:p>
    <w:bookmarkStart w:id="140" w:name="page141"/>
    <w:bookmarkEnd w:id="140"/>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7.09. </w:t>
      </w:r>
      <w:r>
        <w:rPr>
          <w:rFonts w:ascii="Times New Roman" w:cs="Times New Roman" w:eastAsia="Times New Roman" w:hAnsi="Times New Roman"/>
          <w:sz w:val="22"/>
          <w:szCs w:val="22"/>
          <w:u w:val="single" w:color="auto"/>
          <w:color w:val="auto"/>
        </w:rPr>
        <w:t>Successor Trustee by Merger, etc.</w:t>
      </w:r>
      <w:r>
        <w:rPr>
          <w:rFonts w:ascii="Times New Roman" w:cs="Times New Roman" w:eastAsia="Times New Roman" w:hAnsi="Times New Roman"/>
          <w:sz w:val="22"/>
          <w:szCs w:val="22"/>
          <w:color w:val="auto"/>
        </w:rPr>
        <w:t>. If the Trustee consolidates, merges or converts into, or transfers all or substantially all of its corporate trust business to another corporation, the successor corporation without any further act will be the successor Trustee.</w:t>
      </w:r>
    </w:p>
    <w:p>
      <w:pPr>
        <w:spacing w:after="0" w:line="186"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Eligibility; Disqualification</w:t>
      </w:r>
      <w:r>
        <w:rPr>
          <w:rFonts w:ascii="Times New Roman" w:cs="Times New Roman" w:eastAsia="Times New Roman" w:hAnsi="Times New Roman"/>
          <w:sz w:val="22"/>
          <w:szCs w:val="22"/>
          <w:color w:val="auto"/>
        </w:rPr>
        <w:t>. There will at all times be a Trustee hereunder that is a corporation organized and doing business under the laws of the United Kingdom, or of the United States or of any state thereof that is authorized under such laws to exercise corporate trustee power, that is subject to supervision or examination by UK or U.S. federal or state authorities, and which is generally recognized as a corporation which customarily performs such corporate trustee roles and provides such corporate trustee services in transactions similar in nature to the offering of the Notes as described in the Offering Memorandum.</w:t>
      </w:r>
    </w:p>
    <w:p>
      <w:pPr>
        <w:spacing w:after="0" w:line="181"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Resignation of Agents</w:t>
      </w:r>
      <w:r>
        <w:rPr>
          <w:rFonts w:ascii="Times New Roman" w:cs="Times New Roman" w:eastAsia="Times New Roman" w:hAnsi="Times New Roman"/>
          <w:sz w:val="22"/>
          <w:szCs w:val="22"/>
          <w:color w:val="auto"/>
        </w:rPr>
        <w:t>. Any Agent may resign and be discharged from its duties under this Indenture at any time by giving 30 days’ prior written notice of such resignation to the Trustee and Company. The Trustee or Company may remove any Agent at any time by giving 30 days’ prior written notice to any Agent. Upon such notice, a successor Agent shall be appointed by the Company, who shall provide written notice of such to the Trustee. Such successor Agent shall become the Agent hereunder upon the resignation or removal date specified in such notice. If the Company is unable to replace the resigning Agent within 30 days after such notice, the Agent may appoint a replacement Agent or may deliver any funds then held hereunder in its possession to the Trustee or may apply to a court of competent jurisdiction for the appointment of a successor Agent or for other appropriate relief. The costs and expenses (including its counsels’ fees and expenses) incurred by the Agent in connection with such proceeding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7.07. Subject to Section 6.03, the Agents shall act solely as agents of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Legal Defeasance and Covenant Defeasance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2352675</wp:posOffset>
            </wp:positionH>
            <wp:positionV relativeFrom="paragraph">
              <wp:posOffset>-29210</wp:posOffset>
            </wp:positionV>
            <wp:extent cx="24371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189" w:lineRule="exact"/>
        <w:rPr>
          <w:sz w:val="20"/>
          <w:szCs w:val="20"/>
          <w:color w:val="auto"/>
        </w:rPr>
      </w:pPr>
    </w:p>
    <w:p>
      <w:pPr>
        <w:ind w:right="220"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8.01. </w:t>
      </w:r>
      <w:r>
        <w:rPr>
          <w:rFonts w:ascii="Times New Roman" w:cs="Times New Roman" w:eastAsia="Times New Roman" w:hAnsi="Times New Roman"/>
          <w:sz w:val="21"/>
          <w:szCs w:val="21"/>
          <w:u w:val="single" w:color="auto"/>
          <w:color w:val="auto"/>
        </w:rPr>
        <w:t>Option to Effect Legal Defeasance or Covenant Defeasance</w:t>
      </w:r>
      <w:r>
        <w:rPr>
          <w:rFonts w:ascii="Times New Roman" w:cs="Times New Roman" w:eastAsia="Times New Roman" w:hAnsi="Times New Roman"/>
          <w:sz w:val="21"/>
          <w:szCs w:val="21"/>
          <w:color w:val="auto"/>
        </w:rPr>
        <w:t>. The Company may, at the option of its Board of Directors evidenced by a resolution set forth in an Officer’s Certificate, at any time, elect to have either Section 8.02 or 8.03 be applied to all outstanding Notes, the Note Guarantees, this Indenture, the Intercreditor Agreement and the Security Documents with respect to the Notes, and cause the release of all Liens on the Collateral granted under the Security Documents with respect to the Notes upon compliance with the conditions set forth below in this Article VIII.</w:t>
      </w:r>
    </w:p>
    <w:p>
      <w:pPr>
        <w:spacing w:after="0" w:line="16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Legal Defeasance and Discharge</w:t>
      </w:r>
      <w:r>
        <w:rPr>
          <w:rFonts w:ascii="Times New Roman" w:cs="Times New Roman" w:eastAsia="Times New Roman" w:hAnsi="Times New Roman"/>
          <w:sz w:val="22"/>
          <w:szCs w:val="22"/>
          <w:color w:val="auto"/>
        </w:rPr>
        <w:t>. Upon the Company’s exercise under Section 8.01 of the option applicable to this Section 8.02, the Company shall, subject to the satisfaction of the conditions set forth in Section 8.04, be deemed to have been</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48" w:lineRule="auto"/>
        <w:rPr>
          <w:sz w:val="20"/>
          <w:szCs w:val="20"/>
          <w:color w:val="auto"/>
        </w:rPr>
      </w:pPr>
      <w:r>
        <w:rPr>
          <w:rFonts w:ascii="Times New Roman" w:cs="Times New Roman" w:eastAsia="Times New Roman" w:hAnsi="Times New Roman"/>
          <w:sz w:val="22"/>
          <w:szCs w:val="22"/>
          <w:color w:val="auto"/>
        </w:rPr>
        <w:t>discharged from its obligations with respect to all outstanding Notes, the Note Guarantees, this Indenture, the Intercreditor Agreement and the Security Documents with respect to the Notes, and cause the release of all Liens on the Collateral granted under the Security Documents with respect to the Notes on the date the conditions set forth below are satisfied (hereinafter, “</w:t>
      </w:r>
      <w:r>
        <w:rPr>
          <w:rFonts w:ascii="Times New Roman" w:cs="Times New Roman" w:eastAsia="Times New Roman" w:hAnsi="Times New Roman"/>
          <w:sz w:val="22"/>
          <w:szCs w:val="22"/>
          <w:u w:val="single" w:color="auto"/>
          <w:color w:val="auto"/>
        </w:rPr>
        <w:t>Legal Defeasance</w:t>
      </w:r>
      <w:r>
        <w:rPr>
          <w:rFonts w:ascii="Times New Roman" w:cs="Times New Roman" w:eastAsia="Times New Roman" w:hAnsi="Times New Roman"/>
          <w:sz w:val="22"/>
          <w:szCs w:val="22"/>
          <w:color w:val="auto"/>
        </w:rPr>
        <w:t>”). For this purpose, Legal Defeasance means that the Company shall be deemed to have paid and discharged the entire Indebtedness represented by the outstanding Notes of a series, which will thereafter be deemed to be “outstanding” only for the purposes of Section 8.05 and the other Sections of this Indenture referred to in clauses (a) and (b) below, and to have satisfied all its other obligations under such Notes, the Note Guarantees, this Indenture, the Intercreditor Agreement and the Security Documents with respect to the Notes and cause the release of all Liens on the Collateral granted under the Security Documents with respect to the Notes (and the Trustee, on demand of and at the expense of the Company, shall execute proper instruments acknowledging the same), except for the following provisions which will survive until otherwise terminated or discharged hereunder:</w:t>
      </w:r>
    </w:p>
    <w:p>
      <w:pPr>
        <w:spacing w:after="0" w:line="189" w:lineRule="exact"/>
        <w:rPr>
          <w:sz w:val="20"/>
          <w:szCs w:val="20"/>
          <w:color w:val="auto"/>
        </w:rPr>
      </w:pPr>
    </w:p>
    <w:p>
      <w:pPr>
        <w:ind w:firstLine="1304"/>
        <w:spacing w:after="0" w:line="271" w:lineRule="auto"/>
        <w:tabs>
          <w:tab w:leader="none" w:pos="1816"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Holders of outstanding Notes to receive payments in respect of the principal of, or interest or premium, if any, on such Notes when such payments are due from the trust referred to in Section 8.04;</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69"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obligations with respect to the Notes concerning issuing temporary Notes, registration of Notes, mutilated, destroyed, lost or stolen Notes and the maintenance of an office or agency for payment and money for security payments held in trust set forth in Article II;</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79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powers, trusts, duties and immunities of the Trustee hereunder and the Company’s obligations in connection therewith;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Article VIII.</w:t>
      </w:r>
    </w:p>
    <w:p>
      <w:pPr>
        <w:spacing w:after="0" w:line="23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Subject to compliance with this Article VIII, the Company may exercise its option under this Section 8.02 notwithstanding the prior exercise of its option under Section 8.03.</w:t>
      </w:r>
    </w:p>
    <w:p>
      <w:pPr>
        <w:spacing w:after="0" w:line="158"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 Upon the Company’s exercise under Section 8.01 of the option applicable to this Section 8.03, the Company shall, subject to the satisfaction of the conditions set forth in Section 8.04, be released from each of its obligations under the covenants contained in Sections 4.03, 4.04, 4.05, 4.06, 4.07, 4.08, 4.09, 4.10 (including Section 3.09), 4.11, 4.12, 4.13, 4.14, 4.15, 4.16, 4.17, 4.18, 4.19, 5.01(a)(3), 9.07 and 12.03 with respect to the outstanding Notes on and after the date the conditions set forth in Section 8.04 are satisfied (hereinafter, “</w:t>
      </w:r>
      <w:r>
        <w:rPr>
          <w:rFonts w:ascii="Times New Roman" w:cs="Times New Roman" w:eastAsia="Times New Roman" w:hAnsi="Times New Roman"/>
          <w:sz w:val="22"/>
          <w:szCs w:val="22"/>
          <w:u w:val="single" w:color="auto"/>
          <w:color w:val="auto"/>
        </w:rPr>
        <w:t>Covenant Defeasance</w:t>
      </w:r>
      <w:r>
        <w:rPr>
          <w:rFonts w:ascii="Times New Roman" w:cs="Times New Roman" w:eastAsia="Times New Roman" w:hAnsi="Times New Roman"/>
          <w:sz w:val="22"/>
          <w:szCs w:val="22"/>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the Company may omit to comply with and will have no liability in respect of any term, condition or limitation set forth in any such covenant, whether directly or indirectly, by reason of any reference elsewhere herein to any such</w:t>
      </w:r>
    </w:p>
    <w:p>
      <w:pPr>
        <w:sectPr>
          <w:pgSz w:w="11900" w:h="16838" w:orient="portrait"/>
          <w:cols w:equalWidth="0" w:num="1">
            <w:col w:w="11240"/>
          </w:cols>
          <w:pgMar w:left="320" w:top="1421" w:right="339" w:bottom="1440" w:gutter="0" w:footer="0" w:header="0"/>
        </w:sectPr>
      </w:pPr>
    </w:p>
    <w:bookmarkStart w:id="142" w:name="page143"/>
    <w:bookmarkEnd w:id="142"/>
    <w:p>
      <w:pPr>
        <w:jc w:val="both"/>
        <w:spacing w:after="0" w:line="250" w:lineRule="auto"/>
        <w:rPr>
          <w:sz w:val="20"/>
          <w:szCs w:val="20"/>
          <w:color w:val="auto"/>
        </w:rPr>
      </w:pPr>
      <w:r>
        <w:rPr>
          <w:rFonts w:ascii="Times New Roman" w:cs="Times New Roman" w:eastAsia="Times New Roman" w:hAnsi="Times New Roman"/>
          <w:sz w:val="22"/>
          <w:szCs w:val="22"/>
          <w:color w:val="auto"/>
        </w:rPr>
        <w:t>covenant or by reason of any reference in any such covenant to any other provision herein or in any other document and such omission to comply will not constitute a Default or an Event of Default under Section 6.01, but, except as specified above, the remainder of this Indenture and such Notes will be unaffected thereby. In addition, upon the Company’s exercise under Section 8.01 of the option applicable to this Section 8.03, subject to the satisfaction of the conditions set forth in Section 8.04, payment of the Notes may not be accelerated because of an Event of Default specified in Section 6.01(a)(3) (other than with respect to Sections 5.01(a)(1) and 5.01(a)(2)), 6.01(a)(4), 6.01(a)(5), 6.01(a)(6) (other than with respect to the Company), 6.01(a)(7), 6.01(a)(8) or 6.01(a)(9).</w:t>
      </w:r>
    </w:p>
    <w:p>
      <w:pPr>
        <w:spacing w:after="0" w:line="180"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Conditions to Legal Defeasance or Covenant Defeasance</w:t>
      </w:r>
      <w:r>
        <w:rPr>
          <w:rFonts w:ascii="Times New Roman" w:cs="Times New Roman" w:eastAsia="Times New Roman" w:hAnsi="Times New Roman"/>
          <w:sz w:val="22"/>
          <w:szCs w:val="22"/>
          <w:color w:val="auto"/>
        </w:rPr>
        <w:t>. In order to exercise the Company’s option under Section 8.02 or Section 8.03, the Company must irrevocably deposit in trust (the “</w:t>
      </w:r>
      <w:r>
        <w:rPr>
          <w:rFonts w:ascii="Times New Roman" w:cs="Times New Roman" w:eastAsia="Times New Roman" w:hAnsi="Times New Roman"/>
          <w:sz w:val="22"/>
          <w:szCs w:val="22"/>
          <w:u w:val="single" w:color="auto"/>
          <w:color w:val="auto"/>
        </w:rPr>
        <w:t>defeasance trust</w:t>
      </w:r>
      <w:r>
        <w:rPr>
          <w:rFonts w:ascii="Times New Roman" w:cs="Times New Roman" w:eastAsia="Times New Roman" w:hAnsi="Times New Roman"/>
          <w:sz w:val="22"/>
          <w:szCs w:val="22"/>
          <w:color w:val="auto"/>
        </w:rPr>
        <w:t>”) with the Trustee (or such other entity designated by the Trustee for this purpose) cash in U.S. dollars, Cash Equivalents, U.S. Government Obligations, or a combination thereof, in each case denominated in U.S. dollars, in such amounts as will be sufficient for the payment of principal, premium, if any, and interest on the Notes to redemption or maturity, as the case may be; and must deliver to the Trustee:</w:t>
      </w:r>
    </w:p>
    <w:p>
      <w:pPr>
        <w:spacing w:after="0" w:line="181" w:lineRule="exact"/>
        <w:rPr>
          <w:sz w:val="20"/>
          <w:szCs w:val="20"/>
          <w:color w:val="auto"/>
        </w:rPr>
      </w:pPr>
    </w:p>
    <w:p>
      <w:pPr>
        <w:jc w:val="both"/>
        <w:ind w:firstLine="1304"/>
        <w:spacing w:after="0" w:line="268" w:lineRule="auto"/>
        <w:tabs>
          <w:tab w:leader="none" w:pos="1780"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Opinion of Counsel in the United States to the effect that Holders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(and in the case of legal defeasance only, such Opinion of Counsel in the United States must be based on a ruling of the U.S. Internal Revenue Service or other change in applicable U.S. federal income tax law since the Issue Date);</w:t>
      </w:r>
    </w:p>
    <w:p>
      <w:pPr>
        <w:spacing w:after="0" w:line="163" w:lineRule="exact"/>
        <w:rPr>
          <w:rFonts w:ascii="Times New Roman" w:cs="Times New Roman" w:eastAsia="Times New Roman" w:hAnsi="Times New Roman"/>
          <w:sz w:val="21"/>
          <w:szCs w:val="21"/>
          <w:color w:val="auto"/>
        </w:rPr>
      </w:pPr>
    </w:p>
    <w:p>
      <w:pPr>
        <w:ind w:firstLine="1304"/>
        <w:spacing w:after="0" w:line="284" w:lineRule="auto"/>
        <w:tabs>
          <w:tab w:leader="none" w:pos="182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stating that the deposit was not made by the Company with the intent of defeating, hindering, delaying, defrauding or preferring any creditors of the Company;</w:t>
      </w:r>
    </w:p>
    <w:p>
      <w:pPr>
        <w:spacing w:after="0" w:line="14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spacing w:after="0" w:line="172" w:lineRule="exact"/>
        <w:rPr>
          <w:rFonts w:ascii="Times New Roman" w:cs="Times New Roman" w:eastAsia="Times New Roman" w:hAnsi="Times New Roman"/>
          <w:sz w:val="22"/>
          <w:szCs w:val="22"/>
          <w:color w:val="auto"/>
        </w:rPr>
      </w:pPr>
    </w:p>
    <w:p>
      <w:pPr>
        <w:ind w:firstLine="1304"/>
        <w:spacing w:after="0" w:line="284" w:lineRule="auto"/>
        <w:tabs>
          <w:tab w:leader="none" w:pos="1769"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to the effect that the trust resulting from the deposit does not constitute, or is qualified as, a regulated investment company under the U.S. Investment Company Act of 1940; and</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8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documents or other information that the Trustee may reasonably require in connection with the Company’s option under Section 8.02 or Section 8.03.</w:t>
      </w:r>
    </w:p>
    <w:p>
      <w:pPr>
        <w:spacing w:after="0" w:line="158"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Deposited Money and Government Securities to be held in Trust; Other Miscellaneous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Provisions</w:t>
      </w:r>
      <w:r>
        <w:rPr>
          <w:rFonts w:ascii="Times New Roman" w:cs="Times New Roman" w:eastAsia="Times New Roman" w:hAnsi="Times New Roman"/>
          <w:sz w:val="21"/>
          <w:szCs w:val="21"/>
          <w:color w:val="auto"/>
        </w:rPr>
        <w:t>. Subject to Section 8.06, all money and U.S. Government Obligations (including the proceeds thereof), as applicable, deposited with the Trustee (or such other entity designated by the Trustee for this purpose, or other qualifying trustee, collectively</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65" w:lineRule="auto"/>
        <w:rPr>
          <w:sz w:val="20"/>
          <w:szCs w:val="20"/>
          <w:color w:val="auto"/>
        </w:rPr>
      </w:pPr>
      <w:r>
        <w:rPr>
          <w:rFonts w:ascii="Times New Roman" w:cs="Times New Roman" w:eastAsia="Times New Roman" w:hAnsi="Times New Roman"/>
          <w:sz w:val="21"/>
          <w:szCs w:val="21"/>
          <w:color w:val="auto"/>
        </w:rPr>
        <w:t>for purposes of this Section 8.05,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 pursuant to Section 8.04 in respect of the outstanding Notes will be held in trust and applied by the Trustee, in accordance with the provisions of such Notes and this Indenture, to the payment, either directly or through any Paying Agent as the Trustee may determine, to the Holders of such Notes of all sums due and to become due thereon in respect of principal, premium, if any, and interest, but such money need not be segregated from other funds except to the extent required by law. Money and securities so held in trust are not subject to the Intercreditor Agreement and the Trustee is not prohibited from paying such funds to Holders by the terms of this Indenture or the Intercreditor Agreement.</w:t>
      </w:r>
    </w:p>
    <w:p>
      <w:pPr>
        <w:spacing w:after="0" w:line="169"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The Company shall pay and indemnify the Trustee against any Taxes imposed or levied on or assessed against the cash or U.S. Government Obligations deposited pursuant to Section 8.04 or the principal and interest received in respect thereof other than any such Taxes which by law are for the account of the Holders of the outstanding Notes.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obligations of the Company under this Section 8.05 shall survive the resignation or renewal of the Trustee and/or satisfaction and discharge of this Indenture.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Notwithstanding anything in this Article VIII to the contrary, the Trustee shall deliver or pay to the Company from time to time upon the request of the Company any money or U.S. Government Obligations held by it as provided in Section 8.04 which, in the opinion of an Independent Financial Advisor, expressed in a written certification thereof delivered to the Trustee (which may be the opinion delivered under Section 8.04(a)), are in excess of the amount thereof that would then be required to be deposited to effect an equivalent Legal Defeasance or Covenant Defeasance.</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Repayment to Company</w:t>
      </w:r>
      <w:r>
        <w:rPr>
          <w:rFonts w:ascii="Times New Roman" w:cs="Times New Roman" w:eastAsia="Times New Roman" w:hAnsi="Times New Roman"/>
          <w:sz w:val="22"/>
          <w:szCs w:val="22"/>
          <w:color w:val="auto"/>
        </w:rPr>
        <w:t xml:space="preserve">. Any money deposited with the Trustee or any Paying Agent, or then held by the Company in trust, for the payment of the principal of, premium, if any, or interest on any Note and remaining unclaimed for two years after such principal, premium,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money, and all liability of the Company as trustee thereof, will thereupon cease;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Trustee or such Paying Agent, before being required to make any such repayment, may at the expense of the Company cause to be published once, in the New York Times and the </w:t>
      </w:r>
      <w:r>
        <w:rPr>
          <w:rFonts w:ascii="Times New Roman" w:cs="Times New Roman" w:eastAsia="Times New Roman" w:hAnsi="Times New Roman"/>
          <w:sz w:val="22"/>
          <w:szCs w:val="22"/>
          <w:i w:val="1"/>
          <w:iCs w:val="1"/>
          <w:color w:val="auto"/>
        </w:rPr>
        <w:t>Financial Times</w:t>
      </w:r>
      <w:r>
        <w:rPr>
          <w:rFonts w:ascii="Times New Roman" w:cs="Times New Roman" w:eastAsia="Times New Roman" w:hAnsi="Times New Roman"/>
          <w:sz w:val="22"/>
          <w:szCs w:val="22"/>
          <w:color w:val="auto"/>
        </w:rPr>
        <w:t>, notice that such money remains unclaimed and that, after a date specified therein, which will not be less than 30 days from the date of such notification or publication, any unclaimed balance of such money then remaining will be repaid to the Company.</w:t>
      </w:r>
    </w:p>
    <w:p>
      <w:pPr>
        <w:spacing w:after="0" w:line="18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If the Trustee or Paying Agent is unable to apply any U.S. dollars or U.S. Government Obligations denominated in U.S. dollars in accordance with Section 8.02 or 8.03, as the case may be, by reason of any order or judgment of any court or governmental authority enjoining, restraining or otherwise prohibiting such application, then the Company’s obligations under this Indenture and the Notes will be revived and reinstated as though no deposit had occurred pursuant to Section 8.02 or 8.03 until such time as the Trustee or Paying Agent is permitted to apply all such money in accordance with Section</w:t>
      </w:r>
    </w:p>
    <w:p>
      <w:pPr>
        <w:sectPr>
          <w:pgSz w:w="11900" w:h="16838" w:orient="portrait"/>
          <w:cols w:equalWidth="0" w:num="1">
            <w:col w:w="11240"/>
          </w:cols>
          <w:pgMar w:left="320" w:top="1421" w:right="339" w:bottom="1440" w:gutter="0" w:footer="0" w:header="0"/>
        </w:sectPr>
      </w:pPr>
    </w:p>
    <w:bookmarkStart w:id="144" w:name="page145"/>
    <w:bookmarkEnd w:id="144"/>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8.02 or 8.03, as the case may be; provided, however, that, if the Company makes any payment of principal of, premium, if any, or interest on any Note following the reinstatement of its obligations, the Company will be subrogated to the rights of the Holders of such Notes to receive such payment from the money held by the Trustee or Paying Agent.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Amendment, Supplement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2540635</wp:posOffset>
            </wp:positionH>
            <wp:positionV relativeFrom="paragraph">
              <wp:posOffset>-29210</wp:posOffset>
            </wp:positionV>
            <wp:extent cx="2061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1210" cy="8890"/>
                    </a:xfrm>
                    <a:prstGeom prst="rect">
                      <a:avLst/>
                    </a:prstGeom>
                    <a:noFill/>
                  </pic:spPr>
                </pic:pic>
              </a:graphicData>
            </a:graphic>
          </wp:anchor>
        </w:drawing>
      </w:r>
    </w:p>
    <w:p>
      <w:pPr>
        <w:spacing w:after="0" w:line="176" w:lineRule="exact"/>
        <w:rPr>
          <w:sz w:val="20"/>
          <w:szCs w:val="20"/>
          <w:color w:val="auto"/>
        </w:rPr>
      </w:pPr>
    </w:p>
    <w:p>
      <w:pPr>
        <w:ind w:left="1300"/>
        <w:spacing w:after="0"/>
        <w:tabs>
          <w:tab w:leader="none" w:pos="290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u w:val="single" w:color="auto"/>
          <w:color w:val="auto"/>
        </w:rPr>
        <w:t>Without Consent of Holders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815"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 9.02, the Company, the Guarantors, the Trustee, the Security Agent and the other parties thereto, as applicable, may amend or supplement any Note Documents or the Note Guarantee without the consent of any Holder to:</w:t>
      </w:r>
    </w:p>
    <w:p>
      <w:pPr>
        <w:spacing w:after="0" w:line="167"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46"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cure any ambiguity, omission, defect, error or inconsistency, conform any provision of the Note Documents to the “Description of the Notes” contained in the Offering Memorandum, or reduce the minimum denomination of the Notes;</w:t>
      </w:r>
    </w:p>
    <w:p>
      <w:pPr>
        <w:spacing w:after="0" w:line="172" w:lineRule="exact"/>
        <w:rPr>
          <w:rFonts w:ascii="Times New Roman" w:cs="Times New Roman" w:eastAsia="Times New Roman" w:hAnsi="Times New Roman"/>
          <w:sz w:val="22"/>
          <w:szCs w:val="22"/>
          <w:color w:val="auto"/>
        </w:rPr>
      </w:pPr>
    </w:p>
    <w:p>
      <w:pPr>
        <w:ind w:left="1300" w:firstLine="652"/>
        <w:spacing w:after="0" w:line="271" w:lineRule="auto"/>
        <w:tabs>
          <w:tab w:leader="none" w:pos="2623"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assumption by a successor Person of the obligations of the Company or the Guarantors under any Note Document;</w:t>
      </w:r>
    </w:p>
    <w:p>
      <w:pPr>
        <w:spacing w:after="0" w:line="171"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514"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uncertificated Notes in addition to or in place of certificated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uncertificated Notes are issued in registered form for purposes of Section 163(f) of the Code, or in a manner such that the uncertificated Notes are described in Section 163(f)(2)(B) of the Code);</w:t>
      </w:r>
    </w:p>
    <w:p>
      <w:pPr>
        <w:spacing w:after="0" w:line="172" w:lineRule="exact"/>
        <w:rPr>
          <w:rFonts w:ascii="Times New Roman" w:cs="Times New Roman" w:eastAsia="Times New Roman" w:hAnsi="Times New Roman"/>
          <w:sz w:val="22"/>
          <w:szCs w:val="22"/>
          <w:color w:val="auto"/>
        </w:rPr>
      </w:pPr>
    </w:p>
    <w:p>
      <w:pPr>
        <w:ind w:left="1300" w:firstLine="652"/>
        <w:spacing w:after="0" w:line="271" w:lineRule="auto"/>
        <w:tabs>
          <w:tab w:leader="none" w:pos="245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 to the covenants or provide for a Note Guarantee for the benefit of the Holders or surrender any right or power conferred upon the Company or any Restricted Subsidiary;</w:t>
      </w:r>
    </w:p>
    <w:p>
      <w:pPr>
        <w:spacing w:after="0" w:line="171" w:lineRule="exact"/>
        <w:rPr>
          <w:rFonts w:ascii="Times New Roman" w:cs="Times New Roman" w:eastAsia="Times New Roman" w:hAnsi="Times New Roman"/>
          <w:sz w:val="22"/>
          <w:szCs w:val="22"/>
          <w:color w:val="auto"/>
        </w:rPr>
      </w:pPr>
    </w:p>
    <w:p>
      <w:pPr>
        <w:ind w:left="1300" w:firstLine="652"/>
        <w:spacing w:after="0" w:line="271" w:lineRule="auto"/>
        <w:tabs>
          <w:tab w:leader="none" w:pos="2485"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does not adversely affect the rights of any Holder in any material respect or make any change that would provide any additional rights or benefits to the Trustee or the Holders;</w:t>
      </w:r>
    </w:p>
    <w:p>
      <w:pPr>
        <w:spacing w:after="0" w:line="157"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40"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such provisions as necessary (as determined in good faith by the Company) for the issuance of Additional Notes;</w:t>
      </w:r>
    </w:p>
    <w:p>
      <w:pPr>
        <w:spacing w:after="0" w:line="157" w:lineRule="exact"/>
        <w:rPr>
          <w:rFonts w:ascii="Times New Roman" w:cs="Times New Roman" w:eastAsia="Times New Roman" w:hAnsi="Times New Roman"/>
          <w:sz w:val="22"/>
          <w:szCs w:val="22"/>
          <w:color w:val="auto"/>
        </w:rPr>
      </w:pPr>
    </w:p>
    <w:p>
      <w:pPr>
        <w:jc w:val="both"/>
        <w:ind w:left="1300" w:firstLine="652"/>
        <w:spacing w:after="0" w:line="251" w:lineRule="auto"/>
        <w:tabs>
          <w:tab w:leader="none" w:pos="2461"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any Restricted Subsidiary to provide a Note Guarantee in accordance with Section 4.16, to add Note Guarantees, to add security to or for the benefit of the Notes, or to confirm and evidence the release, termination, discharge or retaking of any Note Guarantee or Lien (including the Collateral and the Security Documents) with respect to or securing the Notes when such release, termination, discharge or retaking is provided for under this Indenture (without giving effect to Section 12.04(h)) or the Security Documents, including the Intercreditor Agreement;</w:t>
      </w:r>
    </w:p>
    <w:p>
      <w:pPr>
        <w:sectPr>
          <w:pgSz w:w="11900" w:h="16838" w:orient="portrait"/>
          <w:cols w:equalWidth="0" w:num="1">
            <w:col w:w="11240"/>
          </w:cols>
          <w:pgMar w:left="320" w:top="1421" w:right="339" w:bottom="1440" w:gutter="0" w:footer="0" w:header="0"/>
        </w:sectPr>
      </w:pPr>
    </w:p>
    <w:bookmarkStart w:id="145" w:name="page146"/>
    <w:bookmarkEnd w:id="145"/>
    <w:p>
      <w:pPr>
        <w:ind w:left="1300" w:firstLine="652"/>
        <w:spacing w:after="0" w:line="295" w:lineRule="auto"/>
        <w:tabs>
          <w:tab w:leader="none" w:pos="2437"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and provide for the acceptance and appointment under this Indenture of a successor Trustee pursuant to the requirements thereof or to provide for the accession by the Trustee to any Note Document;</w:t>
      </w:r>
    </w:p>
    <w:p>
      <w:pPr>
        <w:spacing w:after="0" w:line="135" w:lineRule="exact"/>
        <w:rPr>
          <w:rFonts w:ascii="Times New Roman" w:cs="Times New Roman" w:eastAsia="Times New Roman" w:hAnsi="Times New Roman"/>
          <w:sz w:val="21"/>
          <w:szCs w:val="21"/>
          <w:color w:val="auto"/>
        </w:rPr>
      </w:pPr>
    </w:p>
    <w:p>
      <w:pPr>
        <w:jc w:val="both"/>
        <w:ind w:left="1300" w:firstLine="652"/>
        <w:spacing w:after="0" w:line="251" w:lineRule="auto"/>
        <w:tabs>
          <w:tab w:leader="none" w:pos="2467"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the Security Documents, mortgage, pledge, hypothecate or grant a security interest in favor of the Security Agent for the benefit of parties to the Senior Facilities Agreement, in any property which is required by the Senior Facilities Agreement (as in effect on the Issue Date) to be mortgaged, pledged or hypothecated, or in which a security interest is required to be granted to the Security Agent, or to the extent necessary to grant a security interest for the benefit of any Person; provided that the granting of such security interest is not prohibited by this Indenture and Section 12.03 is complied with; or</w:t>
      </w:r>
    </w:p>
    <w:p>
      <w:pPr>
        <w:spacing w:after="0" w:line="194" w:lineRule="exact"/>
        <w:rPr>
          <w:rFonts w:ascii="Times New Roman" w:cs="Times New Roman" w:eastAsia="Times New Roman" w:hAnsi="Times New Roman"/>
          <w:sz w:val="22"/>
          <w:szCs w:val="22"/>
          <w:color w:val="auto"/>
        </w:rPr>
      </w:pPr>
    </w:p>
    <w:p>
      <w:pPr>
        <w:ind w:left="2520" w:hanging="568"/>
        <w:spacing w:after="0"/>
        <w:tabs>
          <w:tab w:leader="none" w:pos="2520" w:val="left"/>
        </w:tabs>
        <w:numPr>
          <w:ilvl w:val="1"/>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amendments or supplements as provided in Section 12.05 and Section 12.06.</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an amendment becomes effective, the Company is required to mail to Holders a notice briefly describing such amendment. However, the failure to give such notice to all Holders, or any defect therein, shall not impair or affect the validity of the amendment. In addition, for so long as the Notes are listed on the official list of the Exchange and admitted to trading on the Euro MTF Market and the rules and regulations of the Exchange so require, the Company shall provide notice of any amendment, supplement or waiver to the Exchange and shall publish notice of such amendment, supplement or waiver on the website of the Exchange (www.luxse.com).</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82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Company, and upon receipt by the Trustee of the documents described in Section 11.06,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u w:val="single" w:color="auto"/>
          <w:color w:val="auto"/>
        </w:rPr>
        <w:t>With Consent of Holders</w:t>
      </w:r>
      <w:r>
        <w:rPr>
          <w:rFonts w:ascii="Times New Roman" w:cs="Times New Roman" w:eastAsia="Times New Roman" w:hAnsi="Times New Roman"/>
          <w:sz w:val="22"/>
          <w:szCs w:val="22"/>
          <w:color w:val="auto"/>
        </w:rPr>
        <w:t xml:space="preserve">. Except as provided below in this Section 9.02, the Company, the Guarantors and the Trustee may amend or supplement any Note Documents or the Note Guarantees with the consent of the Holders of at least a majority in principal amount of the Notes then outstanding (including, without limitation, consents obtained in connection with a purchase of, or tender offer or exchange offer for, such Notes) and, subject to this Indenture and the Notes, any existing Default or Event of Default (other than a Default or Event of Default in the payment of the principal of, premium, if any, or interest on the Notes, except a payment default resulting from an acceleration that has been rescinded) or compliance with any provision of the Note Documents may be waived with the consent of the Holders of at least a majority in principal amount of the Notes then outstanding (including, without limitation, consents obtained in connection with a purchase of, or tender offer or exchange offer for, such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amendment, waiver or other modification will only affect one series of the Notes, only the consent of at least a majority in principal amount of the then outstanding</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71" w:lineRule="auto"/>
        <w:rPr>
          <w:sz w:val="20"/>
          <w:szCs w:val="20"/>
          <w:color w:val="auto"/>
        </w:rPr>
      </w:pPr>
      <w:r>
        <w:rPr>
          <w:rFonts w:ascii="Times New Roman" w:cs="Times New Roman" w:eastAsia="Times New Roman" w:hAnsi="Times New Roman"/>
          <w:sz w:val="22"/>
          <w:szCs w:val="22"/>
          <w:color w:val="auto"/>
        </w:rPr>
        <w:t>Notes of such series shall be required. Section 2.08 shall determine which Notes are considered to be “outstanding” for purposes of this Section 9.02.</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Upon the request of the Company, and upon the filing with the Trustee of evidence satisfactory to the Trustee of the consent of the Holders as aforesaid, and upon receipt by the Trustee of the documents described in Section 7.02,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79"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It is not necessary for the consent of the Holders under this Section 9.02 to approve the particular form of any proposed amendment or waiver, but it is sufficient if such consent approves the substance thereof.</w:t>
      </w:r>
    </w:p>
    <w:p>
      <w:pPr>
        <w:spacing w:after="0" w:line="14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After an amendment, supplement or waiver under this Section 9.02 becomes effective, the Company shall mail to the Holders affected thereby a notice briefly describing the amendment, supplement or waiver. Any failure of the Company to mail such notice, or any defect therein, shall not, however, in any way impair or affect the validity of any such amended or supplemental indenture or waiver. Subject to Section 6.07, the Holders of a majority in aggregate principal amount of the Notes then outstanding may waive compliance in a particular instance by the Company with any provision of this Indenture or the Notes. However, without the consent of Holders holding not less than 90% of the then outstanding principal amount of Notes,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amendment, waiver or other modification will only affect one series of the Notes only the consent of Holders holding not less than 90% of the principal amount of the then outstanding Notes of such series shall be required) (or, alternatively, the consent of each Holder affected thereby) an amendment or waiver under this Section 9.02 may not, with respect to any Notes held by a non-consenting Holder:</w:t>
      </w:r>
    </w:p>
    <w:p>
      <w:pPr>
        <w:spacing w:after="0" w:line="204" w:lineRule="exact"/>
        <w:rPr>
          <w:sz w:val="20"/>
          <w:szCs w:val="20"/>
          <w:color w:val="auto"/>
        </w:rPr>
      </w:pPr>
    </w:p>
    <w:p>
      <w:pPr>
        <w:ind w:left="1760" w:hanging="456"/>
        <w:spacing w:after="0"/>
        <w:tabs>
          <w:tab w:leader="none" w:pos="17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amount of such Notes whose Holders must consent to an amendment;</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stated rate of or extend the stated time for payment of interest on any such Note;</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extend the Stated Maturity of any such Note;</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833"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premium payable upon the redemption of any such Note or change the time at which any such Note may be redeemed, in each case, pursuant to Section 3.07 or Section 3.10;</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such Note payable in currency other than that stated in such Note;</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755"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impair the right of any Holder to receive payment of principal of and interest or Additional Amounts, if any, on such Holder’s Notes on or after the due dates therefor</w:t>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2"/>
          <w:szCs w:val="22"/>
          <w:color w:val="auto"/>
        </w:rPr>
        <w:t>or to institute suit for the enforcement of any such payment on or with respect to such Holder’s Notes;</w:t>
      </w:r>
    </w:p>
    <w:p>
      <w:pPr>
        <w:spacing w:after="0" w:line="220" w:lineRule="exact"/>
        <w:rPr>
          <w:sz w:val="20"/>
          <w:szCs w:val="20"/>
          <w:color w:val="auto"/>
        </w:rPr>
      </w:pPr>
    </w:p>
    <w:p>
      <w:pPr>
        <w:ind w:left="1780" w:hanging="476"/>
        <w:spacing w:after="0"/>
        <w:tabs>
          <w:tab w:leader="none" w:pos="1780"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any change in Section 2.13 that adversely affects the right of any Holder of such Notes in any material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w:t>
      </w:r>
    </w:p>
    <w:p>
      <w:pPr>
        <w:spacing w:after="0" w:line="209" w:lineRule="exact"/>
        <w:rPr>
          <w:sz w:val="20"/>
          <w:szCs w:val="20"/>
          <w:color w:val="auto"/>
        </w:rPr>
      </w:pPr>
    </w:p>
    <w:p>
      <w:pPr>
        <w:ind w:firstLine="1304"/>
        <w:spacing w:after="0" w:line="271" w:lineRule="auto"/>
        <w:tabs>
          <w:tab w:leader="none" w:pos="1767"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all or substantially all the Guarantors from their obligations under their respective Note Guarantees or this Indenture, except otherwise in accordance with the terms of this Indenture;</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75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the security interest granted for the benefit of the Holders in the Collateral other than pursuant to the terms of the Security Documents or as otherwise permitted by this Indenture and the Intercreditor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 Default or Event of Default with respect to the non-payment of principal, premium, interest or Additional Amounts, if any, on the Notes (except pursuant to a rescission of acceleration of the Notes by the Holders of at least a majority in aggregate principal amount of such Notes and a waiver of the payment default that resulted from such acceleration); or</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812"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in the amendment or waiver provisions which require the consent of the Holders holding not less than 90% of then outstanding principal amount of the Notes.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For purposes of determining whether Holders of the requisite aggregate principal amount of any series of Notes have taken any action under the Indenture, the aggregate principal amount of such series of Notes will be deemed to be the aggregate principal amount of such Notes as of (i) the record date in respect of such action (if a record date has been set with respect to the taking of such action) or (ii) the date the taking of such action by Holders of the requisite aggregate principal amount of such Notes has been certified to the Trustee by the Company (if no such record date has been set).</w:t>
      </w:r>
    </w:p>
    <w:p>
      <w:pPr>
        <w:spacing w:after="0" w:line="179" w:lineRule="exact"/>
        <w:rPr>
          <w:sz w:val="20"/>
          <w:szCs w:val="20"/>
          <w:color w:val="auto"/>
        </w:rPr>
      </w:pPr>
    </w:p>
    <w:p>
      <w:pPr>
        <w:jc w:val="both"/>
        <w:ind w:right="20" w:firstLine="1296"/>
        <w:spacing w:after="0" w:line="263" w:lineRule="auto"/>
        <w:rPr>
          <w:sz w:val="20"/>
          <w:szCs w:val="20"/>
          <w:color w:val="auto"/>
        </w:rPr>
      </w:pPr>
      <w:r>
        <w:rPr>
          <w:rFonts w:ascii="Times New Roman" w:cs="Times New Roman" w:eastAsia="Times New Roman" w:hAnsi="Times New Roman"/>
          <w:sz w:val="22"/>
          <w:szCs w:val="22"/>
          <w:color w:val="auto"/>
        </w:rPr>
        <w:t>For the avoidance of doubt, no amendment to, or deletion of, any of the covenants described in Article IV of this Indenture (other than Section 4.01) shall be deemed to impair or affect any rights of Holders to receive payment of principal of or interest or Additional Amounts, if any, on the Notes.</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u w:val="single" w:color="auto"/>
          <w:color w:val="auto"/>
        </w:rPr>
        <w:t>Supplemental Indenture</w:t>
      </w:r>
      <w:r>
        <w:rPr>
          <w:rFonts w:ascii="Times New Roman" w:cs="Times New Roman" w:eastAsia="Times New Roman" w:hAnsi="Times New Roman"/>
          <w:sz w:val="22"/>
          <w:szCs w:val="22"/>
          <w:color w:val="auto"/>
        </w:rPr>
        <w:t>. Every amendment or supplement to this Indenture or the Notes will be set forth in an amended or supplemental indenture.</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u w:val="single" w:color="auto"/>
          <w:color w:val="auto"/>
        </w:rPr>
        <w:t>Revocation and Effect of Consents</w:t>
      </w:r>
      <w:r>
        <w:rPr>
          <w:rFonts w:ascii="Times New Roman" w:cs="Times New Roman" w:eastAsia="Times New Roman" w:hAnsi="Times New Roman"/>
          <w:sz w:val="22"/>
          <w:szCs w:val="22"/>
          <w:color w:val="auto"/>
        </w:rPr>
        <w:t>. Until an amendment, supplement or waiver becomes effective, a consent to it by a Holder is a continuing consent by the Holder and every subsequent Holder that evidences the same debt as the consenting Holder’s Note, even if notation of the consent is not made on any Note. However, any such Holder or subsequent Holder may revoke the consent as to its Note if the Trustee receives written notice of revocation before the date on which the Trustee receives an Officer’s Certificate from the</w:t>
      </w:r>
    </w:p>
    <w:p>
      <w:pPr>
        <w:sectPr>
          <w:pgSz w:w="11900" w:h="16838" w:orient="portrait"/>
          <w:cols w:equalWidth="0" w:num="1">
            <w:col w:w="11240"/>
          </w:cols>
          <w:pgMar w:left="320" w:top="1421" w:right="339" w:bottom="1440" w:gutter="0" w:footer="0" w:header="0"/>
        </w:sectPr>
      </w:pPr>
    </w:p>
    <w:bookmarkStart w:id="148" w:name="page149"/>
    <w:bookmarkEnd w:id="148"/>
    <w:p>
      <w:pPr>
        <w:jc w:val="both"/>
        <w:spacing w:after="0" w:line="271" w:lineRule="auto"/>
        <w:rPr>
          <w:sz w:val="20"/>
          <w:szCs w:val="20"/>
          <w:color w:val="auto"/>
        </w:rPr>
      </w:pPr>
      <w:r>
        <w:rPr>
          <w:rFonts w:ascii="Times New Roman" w:cs="Times New Roman" w:eastAsia="Times New Roman" w:hAnsi="Times New Roman"/>
          <w:sz w:val="22"/>
          <w:szCs w:val="22"/>
          <w:color w:val="auto"/>
        </w:rPr>
        <w:t>Company certifying that the requisite number of consents have been received. An amendment, supplement or waiver becomes effective in accordance with its terms and thereafter binds every Holder.</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u w:val="single" w:color="auto"/>
          <w:color w:val="auto"/>
        </w:rPr>
        <w:t>Notation on or Exchange of Notes</w:t>
      </w:r>
      <w:r>
        <w:rPr>
          <w:rFonts w:ascii="Times New Roman" w:cs="Times New Roman" w:eastAsia="Times New Roman" w:hAnsi="Times New Roman"/>
          <w:sz w:val="22"/>
          <w:szCs w:val="22"/>
          <w:color w:val="auto"/>
        </w:rPr>
        <w:t>. The Trustee may place an appropriate notation about an amendment, supplement or waiver on any Note thereafter authenticated. The Company in exchange for the relevant series of Notes may issue and the Trustee shall, upon receipt of an Authentication Order, authenticate new Notes that reflect the amendment, supplement or waiver. Failure to make the appropriate notation or issue a new Note will not affect the validity and effect of such amendment, supplement or waiver.</w:t>
      </w:r>
    </w:p>
    <w:p>
      <w:pPr>
        <w:spacing w:after="0" w:line="17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9.06. </w:t>
      </w:r>
      <w:r>
        <w:rPr>
          <w:rFonts w:ascii="Times New Roman" w:cs="Times New Roman" w:eastAsia="Times New Roman" w:hAnsi="Times New Roman"/>
          <w:sz w:val="22"/>
          <w:szCs w:val="22"/>
          <w:u w:val="single" w:color="auto"/>
          <w:color w:val="auto"/>
        </w:rPr>
        <w:t>Trustee to Sign Amendments, etc.</w:t>
      </w:r>
      <w:r>
        <w:rPr>
          <w:rFonts w:ascii="Times New Roman" w:cs="Times New Roman" w:eastAsia="Times New Roman" w:hAnsi="Times New Roman"/>
          <w:sz w:val="22"/>
          <w:szCs w:val="22"/>
          <w:color w:val="auto"/>
        </w:rPr>
        <w:t xml:space="preserve"> The Trustee shall sign any amended or supplemental indenture authorized pursuant to this Article IX if the amendment or supplement does not adversely affect the rights, duties, liabilities, indemnities or immunities of the Trustee. In executing any amended or supplemental indenture, the Trustee shall be provided with and (subject to Section 7.01) shall be fully protected in relying upon, in addition to the documents required by Section 13.04, an Officer’s Certificate and an Opinion of Counsel stating that the execution of such amended or supplemental indenture is authorized or permitted by this Indenture. In signing any amendment, supplement or waiver, the Trustee shall be entitled to receive security and/or an indemnity and/or prefunding satisfactory to it.</w:t>
      </w:r>
    </w:p>
    <w:p>
      <w:pPr>
        <w:spacing w:after="0" w:line="194"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9.07. </w:t>
      </w:r>
      <w:r>
        <w:rPr>
          <w:rFonts w:ascii="Times New Roman" w:cs="Times New Roman" w:eastAsia="Times New Roman" w:hAnsi="Times New Roman"/>
          <w:sz w:val="22"/>
          <w:szCs w:val="22"/>
          <w:u w:val="single" w:color="auto"/>
          <w:color w:val="auto"/>
        </w:rPr>
        <w:t>Payments for Consent</w:t>
      </w:r>
      <w:r>
        <w:rPr>
          <w:rFonts w:ascii="Times New Roman" w:cs="Times New Roman" w:eastAsia="Times New Roman" w:hAnsi="Times New Roman"/>
          <w:sz w:val="22"/>
          <w:szCs w:val="22"/>
          <w:color w:val="auto"/>
        </w:rPr>
        <w:t>. The Company shall not, and shall not permit any of its Restricted Subsidiaries to, directly or indirectly, pay or cause to be paid any consideration to or for the benefit of any Holder for or as an inducement to any consent, waiver or amendment of any of the terms of the provisions of this Indenture or the Notes unless such consideration is offered to all Holders and is paid to all Holders that so consent, waive or agree to amend in the time frame set forth in the solicitation documents relating to such consent, waiver or agreement. Notwithstanding the foregoing, the Company and its Restricted Subsidiaries shall be permitted, in any offer or payment of consideration for, or as an inducement to, any consent, waiver or amendment of any of the terms or provisions of this Indenture or the Notes, to exclude Holders in any jurisdiction where (i) the solicitation of such consent, waiver or amendment, including in connection with an exchange offer or an offer to purchase for cash, or (ii) the payment of the consideration therefor (A) would require the Company or any of its Restricted Subsidiaries to file a registration statement, prospectus or similar document under any applicable securities laws (including, but not limited to, the United States federal securities laws, the laws of the United Kingdom, and the laws of the European Union or its member states), which the Company in its sole discretion determines (acting in good faith) would be materially burdensome; or (B) would otherwise not be permitted under applicable law in such jurisdiction.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Satisfaction and Discharge</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u w:val="single" w:color="auto"/>
          <w:color w:val="auto"/>
        </w:rPr>
        <w:t>Satisfaction and Discharge</w:t>
      </w:r>
      <w:r>
        <w:rPr>
          <w:rFonts w:ascii="Times New Roman" w:cs="Times New Roman" w:eastAsia="Times New Roman" w:hAnsi="Times New Roman"/>
          <w:sz w:val="22"/>
          <w:szCs w:val="22"/>
          <w:color w:val="auto"/>
        </w:rPr>
        <w:t>. This Indenture, and the rights of the Trustee and the Holders under the Security Documents, will be discharged and cease to be</w:t>
      </w:r>
    </w:p>
    <w:p>
      <w:pPr>
        <w:sectPr>
          <w:pgSz w:w="11900" w:h="16838" w:orient="portrait"/>
          <w:cols w:equalWidth="0" w:num="1">
            <w:col w:w="11240"/>
          </w:cols>
          <w:pgMar w:left="320" w:top="14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1"/>
          <w:szCs w:val="21"/>
          <w:color w:val="auto"/>
        </w:rPr>
        <w:t>of further effect (except as to surviving rights of conversion or transfer or exchange of the Notes, as expressly provided for in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as to all outstanding Notes when:</w:t>
      </w:r>
    </w:p>
    <w:p>
      <w:pPr>
        <w:spacing w:after="0" w:line="196" w:lineRule="exact"/>
        <w:rPr>
          <w:sz w:val="20"/>
          <w:szCs w:val="20"/>
          <w:color w:val="auto"/>
        </w:rPr>
      </w:pPr>
    </w:p>
    <w:p>
      <w:pPr>
        <w:ind w:left="1760" w:hanging="456"/>
        <w:spacing w:after="0"/>
        <w:tabs>
          <w:tab w:leader="none" w:pos="176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w:t>
      </w:r>
    </w:p>
    <w:p>
      <w:pPr>
        <w:spacing w:after="0" w:line="233" w:lineRule="exact"/>
        <w:rPr>
          <w:rFonts w:ascii="Times New Roman" w:cs="Times New Roman" w:eastAsia="Times New Roman" w:hAnsi="Times New Roman"/>
          <w:sz w:val="22"/>
          <w:szCs w:val="22"/>
          <w:color w:val="auto"/>
        </w:rPr>
      </w:pPr>
    </w:p>
    <w:p>
      <w:pPr>
        <w:jc w:val="both"/>
        <w:ind w:left="1300" w:firstLine="652"/>
        <w:spacing w:after="0" w:line="257" w:lineRule="auto"/>
        <w:tabs>
          <w:tab w:leader="none" w:pos="2419"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Notes previously authenticated and delivered (other than certain lost, stolen or destroyed Notes and certain Notes for which provision for payment was previously made and thereafter the funds have been released to the Company) have been delivered to the Trustee for cancellation; or</w:t>
      </w:r>
    </w:p>
    <w:p>
      <w:pPr>
        <w:spacing w:after="0" w:line="17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Notes not previously delivered to the Trustee for cancellation (i) have become due and payable,</w:t>
      </w:r>
    </w:p>
    <w:p>
      <w:pPr>
        <w:spacing w:after="0" w:line="27" w:lineRule="exact"/>
        <w:rPr>
          <w:rFonts w:ascii="Times New Roman" w:cs="Times New Roman" w:eastAsia="Times New Roman" w:hAnsi="Times New Roman"/>
          <w:sz w:val="22"/>
          <w:szCs w:val="22"/>
          <w:color w:val="auto"/>
        </w:rPr>
      </w:pPr>
    </w:p>
    <w:p>
      <w:pPr>
        <w:jc w:val="both"/>
        <w:ind w:left="1300" w:firstLine="4"/>
        <w:spacing w:after="0" w:line="252" w:lineRule="auto"/>
        <w:tabs>
          <w:tab w:leader="none" w:pos="163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become due and payable at their Stated Maturity within one year or (iii) are to be called for redemption within one year under arrangements reasonably satisfactory to the Trustee for the giving of notice of redemption by the Trustee in the name, and at the expense, of the Company;</w:t>
      </w:r>
    </w:p>
    <w:p>
      <w:pPr>
        <w:spacing w:after="0" w:line="178"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6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deposited or caused to be deposited with the Trustee (or such other entity designated by the Trustee for this purpose), cash, Cash Equivalents, U.S. Government Obligations or a combination thereof, in each case, denominated in U.S. dollars, in amounts as will be sufficient, without consideration of any reinvestment of interest, to pay and discharge the entire indebtedness on the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18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paid or caused to be paid all other sums payable under this Indenture;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9"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delivered to the Trustee an Officer’s Certificate and an Opinion of Counsel each to the effect that all conditions precedent under this Section 10.01 relating to the satisfaction and discharge of this Indenture have been satisfied or complied 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counsel may rely on any Officer’s Certificate as to matters of fact (including as to compliance with Sections 10.01(a), 10.01(b) and 10.01(c)).</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If requested by the Company in writing no later than two Business Days prior to such distribution to the Trustee and Paying Agent (which request may be included in the applicable notice of redemption pursuant to the above referenced Officer’s Certificate), the Trustee shall distribute any amount deposited to the Holders prior to the Stated Maturity or the redemption date,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Notes shall be marked down on the date of early repayment and such early repayment will not occur prior to the record date set for redemption.</w:t>
      </w:r>
    </w:p>
    <w:p>
      <w:pPr>
        <w:spacing w:after="0" w:line="179" w:lineRule="exact"/>
        <w:rPr>
          <w:sz w:val="20"/>
          <w:szCs w:val="20"/>
          <w:color w:val="auto"/>
        </w:rPr>
      </w:pPr>
    </w:p>
    <w:p>
      <w:pPr>
        <w:jc w:val="both"/>
        <w:ind w:right="20" w:firstLine="1296"/>
        <w:spacing w:after="0" w:line="275" w:lineRule="auto"/>
        <w:rPr>
          <w:sz w:val="20"/>
          <w:szCs w:val="20"/>
          <w:color w:val="auto"/>
        </w:rPr>
      </w:pPr>
      <w:r>
        <w:rPr>
          <w:rFonts w:ascii="Times New Roman" w:cs="Times New Roman" w:eastAsia="Times New Roman" w:hAnsi="Times New Roman"/>
          <w:sz w:val="21"/>
          <w:szCs w:val="21"/>
          <w:color w:val="auto"/>
        </w:rPr>
        <w:t>For the avoidance of doubt, the distribution and payment to the Holders prior to the maturity or redemption date as set forth above shall not include any negative interest, present value adjustment, break cost or any additional premium on such amounts. To the extent the Notes are represented by a Global Note deposited with a depositary for the clearing system, any</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71" w:lineRule="auto"/>
        <w:rPr>
          <w:sz w:val="20"/>
          <w:szCs w:val="20"/>
          <w:color w:val="auto"/>
        </w:rPr>
      </w:pPr>
      <w:r>
        <w:rPr>
          <w:rFonts w:ascii="Times New Roman" w:cs="Times New Roman" w:eastAsia="Times New Roman" w:hAnsi="Times New Roman"/>
          <w:sz w:val="22"/>
          <w:szCs w:val="22"/>
          <w:color w:val="auto"/>
        </w:rPr>
        <w:t>payment to the beneficial holders holding interests as a participant of such clearing system shall be subject to the then applicable procedures of the clearing system.</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Notwithstanding the satisfaction and discharge of this Indenture, if money has been deposited with the Trustee pursuant to Section 10.01(b), the provisions of Section 10.02 and Section 8.06 will survive. In addition, nothing in this Section 10.01 will be deemed to discharge those provisions of Section 7.07, that, by their terms, survive the satisfaction and discharge of this Indenture.</w:t>
      </w:r>
    </w:p>
    <w:p>
      <w:pPr>
        <w:spacing w:after="0" w:line="176"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u w:val="single" w:color="auto"/>
          <w:color w:val="auto"/>
        </w:rPr>
        <w:t>Application of Trust Money</w:t>
      </w:r>
      <w:r>
        <w:rPr>
          <w:rFonts w:ascii="Times New Roman" w:cs="Times New Roman" w:eastAsia="Times New Roman" w:hAnsi="Times New Roman"/>
          <w:sz w:val="22"/>
          <w:szCs w:val="22"/>
          <w:color w:val="auto"/>
        </w:rPr>
        <w:t>. Subject to the provisions of Section 8.06, all money deposited with the Trustee (or the entity designated by the Trustee) pursuant to Section 10.01 shall be held in trust and applied by it, in accordance with the provisions of the Notes and this Indenture, to the payment, either directly or through any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2"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2"/>
          <w:szCs w:val="22"/>
          <w:color w:val="auto"/>
        </w:rPr>
        <w:t xml:space="preserve">If the Trustee or Paying Agent is unable to apply any money or securities in accordance with Section 10.01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10.01;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Company has made any payment of principal of, premium, if any, or interest on any Notes because of the reinstatement of its obligations, the Company shall be subrogated to the rights of the Holders of such Notes to receive such payment from the money or U.S. Government Obligations held by the Trustee or Paying Agent.</w:t>
      </w:r>
    </w:p>
    <w:p>
      <w:pPr>
        <w:spacing w:after="0" w:line="19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u w:val="single" w:color="auto"/>
          <w:color w:val="auto"/>
        </w:rPr>
        <w:t>Article XI</w:t>
      </w:r>
    </w:p>
    <w:p>
      <w:pPr>
        <w:spacing w:after="0" w:line="2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Guarantees</w:t>
      </w:r>
    </w:p>
    <w:p>
      <w:pPr>
        <w:spacing w:after="0" w:line="196"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11.01.</w:t>
      </w:r>
      <w:r>
        <w:rPr>
          <w:sz w:val="20"/>
          <w:szCs w:val="20"/>
          <w:color w:val="auto"/>
        </w:rPr>
        <w:tab/>
      </w:r>
      <w:r>
        <w:rPr>
          <w:rFonts w:ascii="Times New Roman" w:cs="Times New Roman" w:eastAsia="Times New Roman" w:hAnsi="Times New Roman"/>
          <w:sz w:val="21"/>
          <w:szCs w:val="21"/>
          <w:u w:val="single" w:color="auto"/>
          <w:color w:val="auto"/>
        </w:rPr>
        <w:t>Guarantees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83"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jointly and severally, irrevocably and unconditionally guarantees to each Holder and to the Trustee and its successors and assigns (1) the full and punctual payment when due, whether at Stated Maturity, by acceleration, by redemption or otherwise, of all obligations of the Company under this Indenture (including obligations to the Trustee) and the Notes, whether for payment of principal of, interest or premium, if any, on the Notes and all other monetary obligations of the Company under this Indenture and the Notes and (2)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Each Guarantor further agrees that the Guaranteed Obligations may be extended or renewed, in whole or in part, without notice or further assent from each such Guarantor, and that each such Guarantor shall remain bound under this Article XI notwithstanding any extension or renewal of any Guaranteed Obligation.</w:t>
      </w:r>
    </w:p>
    <w:p>
      <w:pPr>
        <w:sectPr>
          <w:pgSz w:w="11900" w:h="16838" w:orient="portrait"/>
          <w:cols w:equalWidth="0" w:num="1">
            <w:col w:w="11240"/>
          </w:cols>
          <w:pgMar w:left="320" w:top="1421" w:right="339" w:bottom="1440" w:gutter="0" w:footer="0" w:header="0"/>
        </w:sectPr>
      </w:pPr>
    </w:p>
    <w:bookmarkStart w:id="151" w:name="page152"/>
    <w:bookmarkEnd w:id="151"/>
    <w:p>
      <w:pPr>
        <w:jc w:val="both"/>
        <w:ind w:left="-8" w:firstLine="1304"/>
        <w:spacing w:after="0" w:line="259" w:lineRule="auto"/>
        <w:tabs>
          <w:tab w:leader="none" w:pos="1800"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Guarantor waives presentation to, demand of payment from and protest to the Company of any of the Guaranteed Obligations and also waives notice of protest for non-payment. Each Guarantor waives notice of any default under the Notes or the Guaranteed Obligations. The obligations of each Guarantor hereunder shall not be affected by (1) the failure of any Holder or the Trustee to assert any claim or demand or to enforce any right or remedy against the Company or any other Person under this Indenture, the Notes or any other agreement or otherwise; (2) any extension or renewal of any thereof; (3) any rescission, waiver, amendment or modification of any of the terms or provisions of this Indenture, the Notes or any other agreement; (4) the release of any security held by any Holder or the Trustee for the Guaranteed Obligations or any of them; (5) the failure of any Holder or Trustee to exercise any right or remedy against any other guarantor of the Guaranteed Obligations; or</w:t>
      </w:r>
    </w:p>
    <w:p>
      <w:pPr>
        <w:spacing w:after="0" w:line="6" w:lineRule="exact"/>
        <w:rPr>
          <w:rFonts w:ascii="Times New Roman" w:cs="Times New Roman" w:eastAsia="Times New Roman" w:hAnsi="Times New Roman"/>
          <w:sz w:val="21"/>
          <w:szCs w:val="21"/>
          <w:color w:val="auto"/>
        </w:rPr>
      </w:pPr>
    </w:p>
    <w:p>
      <w:pPr>
        <w:ind w:left="312" w:hanging="312"/>
        <w:spacing w:after="0"/>
        <w:tabs>
          <w:tab w:leader="none" w:pos="312"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ownership of such Guarantor, except as provided in Sections 11.02(b) and (c).</w:t>
      </w:r>
    </w:p>
    <w:p>
      <w:pPr>
        <w:spacing w:after="0" w:line="207" w:lineRule="exact"/>
        <w:rPr>
          <w:rFonts w:ascii="Times New Roman" w:cs="Times New Roman" w:eastAsia="Times New Roman" w:hAnsi="Times New Roman"/>
          <w:sz w:val="22"/>
          <w:szCs w:val="22"/>
          <w:color w:val="auto"/>
        </w:rPr>
      </w:pPr>
    </w:p>
    <w:p>
      <w:pPr>
        <w:jc w:val="both"/>
        <w:ind w:left="-8" w:firstLine="1304"/>
        <w:spacing w:after="0" w:line="251" w:lineRule="auto"/>
        <w:tabs>
          <w:tab w:leader="none" w:pos="1754"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hereby waives any right to which it may be entitled to have its obligations hereunder divided among the Guarantors, such that such Guarantor’s obligations would be less than the full amount claimed. Each Guarantor hereby waives any right to which it may be entitled to have the assets of the Company first be used and depleted as payment of the Company’s or such Guarantor’s obligations hereunder prior to any amounts being claimed from or paid by such Guarantor hereunder. Each Guarantor hereby waives any right to which it may be entitled to require that the Company be sued prior to an action being initiated against such Guarantor.</w:t>
      </w:r>
    </w:p>
    <w:p>
      <w:pPr>
        <w:spacing w:after="0" w:line="181" w:lineRule="exact"/>
        <w:rPr>
          <w:rFonts w:ascii="Times New Roman" w:cs="Times New Roman" w:eastAsia="Times New Roman" w:hAnsi="Times New Roman"/>
          <w:sz w:val="22"/>
          <w:szCs w:val="22"/>
          <w:color w:val="auto"/>
        </w:rPr>
      </w:pPr>
    </w:p>
    <w:p>
      <w:pPr>
        <w:jc w:val="both"/>
        <w:ind w:left="-8" w:firstLine="1304"/>
        <w:spacing w:after="0" w:line="257" w:lineRule="auto"/>
        <w:tabs>
          <w:tab w:leader="none" w:pos="201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further agrees that its Note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172" w:lineRule="exact"/>
        <w:rPr>
          <w:rFonts w:ascii="Times New Roman" w:cs="Times New Roman" w:eastAsia="Times New Roman" w:hAnsi="Times New Roman"/>
          <w:sz w:val="22"/>
          <w:szCs w:val="22"/>
          <w:color w:val="auto"/>
        </w:rPr>
      </w:pPr>
    </w:p>
    <w:p>
      <w:pPr>
        <w:jc w:val="both"/>
        <w:ind w:left="-8" w:firstLine="1304"/>
        <w:spacing w:after="0" w:line="249" w:lineRule="auto"/>
        <w:tabs>
          <w:tab w:leader="none" w:pos="177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Sections 8.02, 11.02 and 11.08, the obligations of each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Guarantor or would otherwise operate as a discharge of any Guarantor as a matter of law or equity.</w:t>
      </w:r>
    </w:p>
    <w:p>
      <w:pPr>
        <w:spacing w:after="0" w:line="183" w:lineRule="exact"/>
        <w:rPr>
          <w:rFonts w:ascii="Times New Roman" w:cs="Times New Roman" w:eastAsia="Times New Roman" w:hAnsi="Times New Roman"/>
          <w:sz w:val="22"/>
          <w:szCs w:val="22"/>
          <w:color w:val="auto"/>
        </w:rPr>
      </w:pPr>
    </w:p>
    <w:p>
      <w:pPr>
        <w:jc w:val="both"/>
        <w:ind w:left="-8" w:firstLine="1304"/>
        <w:spacing w:after="0" w:line="263" w:lineRule="auto"/>
        <w:tabs>
          <w:tab w:leader="none" w:pos="1722"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Sections 8.02, 11.02 and 11.08, each Guarantor agrees that its Note Guarantee shall remain in full force and effect until payment in full of all the Guaranteed Obligations. Each Guarantor further agrees that its Note Guarantee herein shall continue to be effective or be reinstated, as the case may be, if at any time payment,</w:t>
      </w:r>
    </w:p>
    <w:p>
      <w:pPr>
        <w:sectPr>
          <w:pgSz w:w="11900" w:h="16838" w:orient="portrait"/>
          <w:cols w:equalWidth="0" w:num="1">
            <w:col w:w="11232"/>
          </w:cols>
          <w:pgMar w:left="328" w:top="1421" w:right="339" w:bottom="1440" w:gutter="0" w:footer="0" w:header="0"/>
        </w:sectPr>
      </w:pPr>
    </w:p>
    <w:bookmarkStart w:id="152" w:name="page153"/>
    <w:bookmarkEnd w:id="152"/>
    <w:p>
      <w:pPr>
        <w:ind w:right="20"/>
        <w:spacing w:after="0" w:line="271" w:lineRule="auto"/>
        <w:rPr>
          <w:sz w:val="20"/>
          <w:szCs w:val="20"/>
          <w:color w:val="auto"/>
        </w:rPr>
      </w:pPr>
      <w:r>
        <w:rPr>
          <w:rFonts w:ascii="Times New Roman" w:cs="Times New Roman" w:eastAsia="Times New Roman" w:hAnsi="Times New Roman"/>
          <w:sz w:val="22"/>
          <w:szCs w:val="22"/>
          <w:color w:val="auto"/>
        </w:rPr>
        <w:t>or any part thereof, of principal of or interest on any Guaranteed Obligation is rescinded or must otherwise be restored by any Holder or the Trustee upon the bankruptcy or reorganization of the Company or otherwise.</w:t>
      </w:r>
    </w:p>
    <w:p>
      <w:pPr>
        <w:spacing w:after="0" w:line="158" w:lineRule="exact"/>
        <w:rPr>
          <w:sz w:val="20"/>
          <w:szCs w:val="20"/>
          <w:color w:val="auto"/>
        </w:rPr>
      </w:pPr>
    </w:p>
    <w:p>
      <w:pPr>
        <w:jc w:val="both"/>
        <w:ind w:firstLine="1304"/>
        <w:spacing w:after="0" w:line="250" w:lineRule="auto"/>
        <w:tabs>
          <w:tab w:leader="none" w:pos="176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the foregoing and not in limitation of any other right which any Holder or the Trustee has at law or in equity against any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Guarantor hereby promises to and shall, upon receipt of written demand by the Trustee, forthwith pay, or cause to be paid, in cash, to the Holders or the Trustee an amount equal to the sum of (1) the unpaid principal amount of such Guaranteed Obligations, (2) accrued and unpaid interest on such Guaranteed Obligations (but only to the extent not prohibited by law) and (3) all other monetary obligations of the Company to the Holders and the Trustee.</w:t>
      </w:r>
    </w:p>
    <w:p>
      <w:pPr>
        <w:spacing w:after="0" w:line="18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08"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further agrees that, as between it, on the one hand, and the Holders and the Trustee, on the other hand, (1) the maturity of the Guaranteed Obligations guaranteed hereby may be accelerated as provided in Article VI for the purposes of any Note Guarantee herein, notwithstanding any stay, injunction or other prohibition preventing such acceleration in respect of the Guaranteed Obligations guaranteed hereby, and (2) in the event of any declaration of acceleration of such Guaranteed Obligations as provided in Article VI, such Guaranteed Obligations (whether or not due and payable) shall forthwith become due and payable by such Guarantor for the purposes of this Section 11.01.</w:t>
      </w:r>
    </w:p>
    <w:p>
      <w:pPr>
        <w:spacing w:after="0" w:line="181" w:lineRule="exact"/>
        <w:rPr>
          <w:rFonts w:ascii="Times New Roman" w:cs="Times New Roman" w:eastAsia="Times New Roman" w:hAnsi="Times New Roman"/>
          <w:sz w:val="22"/>
          <w:szCs w:val="22"/>
          <w:color w:val="auto"/>
        </w:rPr>
      </w:pPr>
    </w:p>
    <w:p>
      <w:pPr>
        <w:ind w:firstLine="1304"/>
        <w:spacing w:after="0" w:line="271" w:lineRule="auto"/>
        <w:tabs>
          <w:tab w:leader="none" w:pos="1783"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Guarantor also agrees to pay any and all costs and expenses (including attorneys’ fees and expenses) incurred by the Trustee in enforcing any rights under this Section 11.01.</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76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the Trustee, each Guarantor shall execute and deliver such further instruments and do such further acts as may be reasonably necessary or proper to carry out more effectively the purpose of this Indenture.</w:t>
      </w:r>
    </w:p>
    <w:p>
      <w:pPr>
        <w:spacing w:after="0" w:line="144"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11.02.</w:t>
      </w:r>
      <w:r>
        <w:rPr>
          <w:sz w:val="20"/>
          <w:szCs w:val="20"/>
          <w:color w:val="auto"/>
        </w:rPr>
        <w:tab/>
      </w:r>
      <w:r>
        <w:rPr>
          <w:rFonts w:ascii="Times New Roman" w:cs="Times New Roman" w:eastAsia="Times New Roman" w:hAnsi="Times New Roman"/>
          <w:sz w:val="21"/>
          <w:szCs w:val="21"/>
          <w:u w:val="single" w:color="auto"/>
          <w:color w:val="auto"/>
        </w:rPr>
        <w:t>Limitation on Liability</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780"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term or provision of this Indenture to the contrary notwithstanding, the maximum aggregate amount of the Guaranteed Obligations guaranteed hereunder by any Guarantor shall not exceed the maximum amount that can be hereby guaranteed by the applicable Guarantor without rendering the Note Guarantee, as it relates to such Guarantor, voidable under applicable law relating to </w:t>
      </w:r>
      <w:r>
        <w:rPr>
          <w:rFonts w:ascii="Times New Roman" w:cs="Times New Roman" w:eastAsia="Times New Roman" w:hAnsi="Times New Roman"/>
          <w:sz w:val="22"/>
          <w:szCs w:val="22"/>
          <w:i w:val="1"/>
          <w:iCs w:val="1"/>
          <w:color w:val="auto"/>
        </w:rPr>
        <w:t>ultra vires</w:t>
      </w:r>
      <w:r>
        <w:rPr>
          <w:rFonts w:ascii="Times New Roman" w:cs="Times New Roman" w:eastAsia="Times New Roman" w:hAnsi="Times New Roman"/>
          <w:sz w:val="22"/>
          <w:szCs w:val="22"/>
          <w:color w:val="auto"/>
        </w:rPr>
        <w:t>, fraudulent conveyance, fraudulent transfer, corporate benefit, financial assistance or similar laws affecting the rights of creditors generally or other considerations under applicable law.</w:t>
      </w:r>
    </w:p>
    <w:p>
      <w:pPr>
        <w:spacing w:after="0" w:line="17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45"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Luxembourg</w:t>
      </w:r>
      <w:r>
        <w:rPr>
          <w:rFonts w:ascii="Times New Roman" w:cs="Times New Roman" w:eastAsia="Times New Roman" w:hAnsi="Times New Roman"/>
          <w:sz w:val="22"/>
          <w:szCs w:val="22"/>
          <w:color w:val="auto"/>
        </w:rPr>
        <w:t>: Notwithstanding anything to the contrary in this Indenture or any other Debt Document (as defined in the Intercreditor Agreement), the aggregate obligations and liabilities of any Guarantor incorporated and existing under the laws of Luxembourg (a “</w:t>
      </w:r>
      <w:r>
        <w:rPr>
          <w:rFonts w:ascii="Times New Roman" w:cs="Times New Roman" w:eastAsia="Times New Roman" w:hAnsi="Times New Roman"/>
          <w:sz w:val="22"/>
          <w:szCs w:val="22"/>
          <w:u w:val="single" w:color="auto"/>
          <w:color w:val="auto"/>
        </w:rPr>
        <w:t>Luxembourg Guarantor</w:t>
      </w:r>
      <w:r>
        <w:rPr>
          <w:rFonts w:ascii="Times New Roman" w:cs="Times New Roman" w:eastAsia="Times New Roman" w:hAnsi="Times New Roman"/>
          <w:sz w:val="22"/>
          <w:szCs w:val="22"/>
          <w:color w:val="auto"/>
        </w:rPr>
        <w:t>”) under this Article XI for the obligations of the</w:t>
      </w:r>
    </w:p>
    <w:p>
      <w:pPr>
        <w:sectPr>
          <w:pgSz w:w="11900" w:h="16838" w:orient="portrait"/>
          <w:cols w:equalWidth="0" w:num="1">
            <w:col w:w="11240"/>
          </w:cols>
          <w:pgMar w:left="320" w:top="1422" w:right="339" w:bottom="1440" w:gutter="0" w:footer="0" w:header="0"/>
        </w:sectPr>
      </w:pPr>
    </w:p>
    <w:bookmarkStart w:id="153" w:name="page154"/>
    <w:bookmarkEnd w:id="153"/>
    <w:p>
      <w:pPr>
        <w:jc w:val="both"/>
        <w:spacing w:after="0" w:line="275" w:lineRule="auto"/>
        <w:rPr>
          <w:sz w:val="20"/>
          <w:szCs w:val="20"/>
          <w:color w:val="auto"/>
        </w:rPr>
      </w:pPr>
      <w:r>
        <w:rPr>
          <w:rFonts w:ascii="Times New Roman" w:cs="Times New Roman" w:eastAsia="Times New Roman" w:hAnsi="Times New Roman"/>
          <w:sz w:val="21"/>
          <w:szCs w:val="21"/>
          <w:color w:val="auto"/>
        </w:rPr>
        <w:t>Company or any other Guarantor which is not a direct or indirect subsidiary of such Luxembourg Guarantor shall, together with any similar guarantee and payment obligations (</w:t>
      </w:r>
      <w:r>
        <w:rPr>
          <w:rFonts w:ascii="Times New Roman" w:cs="Times New Roman" w:eastAsia="Times New Roman" w:hAnsi="Times New Roman"/>
          <w:sz w:val="21"/>
          <w:szCs w:val="21"/>
          <w:i w:val="1"/>
          <w:iCs w:val="1"/>
          <w:color w:val="auto"/>
        </w:rPr>
        <w:t>garanties personnelles</w:t>
      </w:r>
      <w:r>
        <w:rPr>
          <w:rFonts w:ascii="Times New Roman" w:cs="Times New Roman" w:eastAsia="Times New Roman" w:hAnsi="Times New Roman"/>
          <w:sz w:val="21"/>
          <w:szCs w:val="21"/>
          <w:color w:val="auto"/>
        </w:rPr>
        <w:t>) of such Luxembourg Guarantor arising under any other Debt Documents (as defined in the Intercreditor Agreement), be limited to an aggregate amount not exceeding the higher of:</w:t>
      </w:r>
    </w:p>
    <w:p>
      <w:pPr>
        <w:spacing w:after="0" w:line="165" w:lineRule="exact"/>
        <w:rPr>
          <w:sz w:val="20"/>
          <w:szCs w:val="20"/>
          <w:color w:val="auto"/>
        </w:rPr>
      </w:pPr>
    </w:p>
    <w:p>
      <w:pPr>
        <w:jc w:val="both"/>
        <w:ind w:left="1300" w:firstLine="652"/>
        <w:spacing w:after="0" w:line="253" w:lineRule="auto"/>
        <w:tabs>
          <w:tab w:leader="none" w:pos="265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95% of such Luxembourg Guarantor’s </w:t>
      </w:r>
      <w:r>
        <w:rPr>
          <w:rFonts w:ascii="Times New Roman" w:cs="Times New Roman" w:eastAsia="Times New Roman" w:hAnsi="Times New Roman"/>
          <w:sz w:val="22"/>
          <w:szCs w:val="22"/>
          <w:i w:val="1"/>
          <w:iCs w:val="1"/>
          <w:color w:val="auto"/>
        </w:rPr>
        <w:t>capitaux propres</w:t>
      </w:r>
      <w:r>
        <w:rPr>
          <w:rFonts w:ascii="Times New Roman" w:cs="Times New Roman" w:eastAsia="Times New Roman" w:hAnsi="Times New Roman"/>
          <w:sz w:val="22"/>
          <w:szCs w:val="22"/>
          <w:color w:val="auto"/>
        </w:rPr>
        <w:t xml:space="preserve"> (as referred to in article 34 of the Luxembourg law dated 19 December 2002 on the commercial register and annual accounts, as amended) determined as at the date on which a demand is made under the Note Guarantee, increased by the amount of any Intra-Group Liabilities (without double counting); and</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63" w:lineRule="auto"/>
        <w:tabs>
          <w:tab w:leader="none" w:pos="265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95% of such Luxembourg Guarantor’s capitaux propres (as referred to in article 34 of the Luxembourg law dated 19 December 2002 on the commercial register and annual accounts) determined as at the date of this Indenture, increased by the amount of any Intra-Group Liabilities (without double counting).</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For the purposes of this Section 11.02(b), “</w:t>
      </w:r>
      <w:r>
        <w:rPr>
          <w:rFonts w:ascii="Times New Roman" w:cs="Times New Roman" w:eastAsia="Times New Roman" w:hAnsi="Times New Roman"/>
          <w:sz w:val="22"/>
          <w:szCs w:val="22"/>
          <w:u w:val="single" w:color="auto"/>
          <w:color w:val="auto"/>
        </w:rPr>
        <w:t>Intra-Group Liabilities</w:t>
      </w:r>
      <w:r>
        <w:rPr>
          <w:rFonts w:ascii="Times New Roman" w:cs="Times New Roman" w:eastAsia="Times New Roman" w:hAnsi="Times New Roman"/>
          <w:sz w:val="22"/>
          <w:szCs w:val="22"/>
          <w:color w:val="auto"/>
        </w:rPr>
        <w:t>” shall mean any amounts owed by such Luxembourg Guarantor to the Company or any of its Subsidiaries that have not been financed (directly or indirectly) by a borrowing under the Debt Documents (as defined in the Intercreditor Agreement).</w:t>
      </w:r>
    </w:p>
    <w:p>
      <w:pPr>
        <w:spacing w:after="0" w:line="173" w:lineRule="exact"/>
        <w:rPr>
          <w:sz w:val="20"/>
          <w:szCs w:val="20"/>
          <w:color w:val="auto"/>
        </w:rPr>
      </w:pPr>
    </w:p>
    <w:p>
      <w:pPr>
        <w:jc w:val="both"/>
        <w:ind w:firstLine="1296"/>
        <w:spacing w:after="0" w:line="281" w:lineRule="auto"/>
        <w:rPr>
          <w:sz w:val="20"/>
          <w:szCs w:val="20"/>
          <w:color w:val="auto"/>
        </w:rPr>
      </w:pPr>
      <w:r>
        <w:rPr>
          <w:rFonts w:ascii="Times New Roman" w:cs="Times New Roman" w:eastAsia="Times New Roman" w:hAnsi="Times New Roman"/>
          <w:sz w:val="21"/>
          <w:szCs w:val="21"/>
          <w:color w:val="auto"/>
        </w:rPr>
        <w:t>The limitation specified in this Section 11.02(b) shall not apply to (i) any amounts borrowed by such Luxembourg Guarantor under the Debt Documents (as defined in the Intercreditor Agreement) and (ii) any amounts borrowed under the Debt Documents (as defined in the Intercreditor Agreement) and on-lent to such Luxembourg Guarantor (in any form whatsoever).</w:t>
      </w:r>
    </w:p>
    <w:p>
      <w:pPr>
        <w:spacing w:after="0" w:line="151" w:lineRule="exact"/>
        <w:rPr>
          <w:sz w:val="20"/>
          <w:szCs w:val="20"/>
          <w:color w:val="auto"/>
        </w:rPr>
      </w:pPr>
    </w:p>
    <w:p>
      <w:pPr>
        <w:jc w:val="both"/>
        <w:ind w:firstLine="1304"/>
        <w:spacing w:after="0" w:line="257" w:lineRule="auto"/>
        <w:tabs>
          <w:tab w:leader="none" w:pos="1860"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Ireland</w:t>
      </w:r>
      <w:r>
        <w:rPr>
          <w:rFonts w:ascii="Times New Roman" w:cs="Times New Roman" w:eastAsia="Times New Roman" w:hAnsi="Times New Roman"/>
          <w:sz w:val="22"/>
          <w:szCs w:val="22"/>
          <w:color w:val="auto"/>
        </w:rPr>
        <w:t>: Notwithstanding anything to the contrary in this Indenture, the obligations and liabilities of any Guarantor incorporated and existing under the laws of Ireland under this Article XI do not extend to any obligation or liability to the extent that it would result in this Article XI constituting:</w:t>
      </w:r>
    </w:p>
    <w:p>
      <w:pPr>
        <w:spacing w:after="0" w:line="186"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unlawful financial assistance within the meaning of Section 82 of the Irish Companies Act; or</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of Section 239 of the Irish Companies Act.</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1"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Notwithstanding anything to the contrary in this Indenture, the obligations and liabilities of any Guarantor incorporated in the United States under this Article XI shall not exceed the maximum amount that can be guaranteed by such Guarantor under applicable state and federal laws (without rendering the guarantee a fraudulent conveyance or a fraudulent transfer).</w:t>
      </w:r>
    </w:p>
    <w:p>
      <w:pPr>
        <w:sectPr>
          <w:pgSz w:w="11900" w:h="16838" w:orient="portrait"/>
          <w:cols w:equalWidth="0" w:num="1">
            <w:col w:w="11240"/>
          </w:cols>
          <w:pgMar w:left="320" w:top="1422" w:right="339" w:bottom="1440" w:gutter="0" w:footer="0" w:header="0"/>
        </w:sectPr>
      </w:pPr>
    </w:p>
    <w:bookmarkStart w:id="154" w:name="page155"/>
    <w:bookmarkEnd w:id="154"/>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Article XI shall be binding upon each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No Waiver</w:t>
      </w:r>
      <w:r>
        <w:rPr>
          <w:rFonts w:ascii="Times New Roman" w:cs="Times New Roman" w:eastAsia="Times New Roman" w:hAnsi="Times New Roman"/>
          <w:sz w:val="22"/>
          <w:szCs w:val="22"/>
          <w:color w:val="auto"/>
        </w:rPr>
        <w:t>. Neither a failure nor a delay on the part of either the Trustee or the Holders in exercising any right, power or privilege under this Article XI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XI at law, in equity, by statute or otherwise.</w:t>
      </w:r>
    </w:p>
    <w:p>
      <w:pPr>
        <w:spacing w:after="0" w:line="17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modification, amendment or waiver of any provision of this Article XI, nor the consent to any departure by any Guarantor therefrom, shall in any event be effective unless the same shall be in writing and signed by the Trustee, and then such waiver or consent shall be effective only in the specific instance and for the purpose for which given. No notice to or demand on any Guarantor in any case shall entitle such Guarantor to any other or further notice or demand in the same, similar or other circumstances.</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11.06. </w:t>
      </w:r>
      <w:r>
        <w:rPr>
          <w:rFonts w:ascii="Times New Roman" w:cs="Times New Roman" w:eastAsia="Times New Roman" w:hAnsi="Times New Roman"/>
          <w:sz w:val="22"/>
          <w:szCs w:val="22"/>
          <w:u w:val="single" w:color="auto"/>
          <w:color w:val="auto"/>
        </w:rPr>
        <w:t>Execution of Supplemental Indenture for Future Guarantors</w:t>
      </w:r>
      <w:r>
        <w:rPr>
          <w:rFonts w:ascii="Times New Roman" w:cs="Times New Roman" w:eastAsia="Times New Roman" w:hAnsi="Times New Roman"/>
          <w:sz w:val="22"/>
          <w:szCs w:val="22"/>
          <w:color w:val="auto"/>
        </w:rPr>
        <w:t>. Each Restricted Subsidiary which is required to become a Guarantor pursuant to Section 4.16 shall promptly execute and deliver to the Trustee a supplemental indenture pursuant to which such Subsidiary shall become a Guarantor under this Article XI and shall guarantee the Guaranteed Obligations. Concurrently with the execution and delivery of such supplemental indenture, the Company shall deliver to the Trustee an Opinion of Counsel and an Officer’s Certificate to the effect that such supplemental indenture has been duly authorized, executed and delivered by such Restricted Subsidiary and that, subject to the application of bankruptcy, insolvency, moratorium, fraudulent conveyance or transfer and other similar laws relating to creditors’ rights generally and to the principles of equity, whether considered in a proceeding at law or in equity, the Note Guarantee of such Guarantor is a legal, valid and binding obligation of such Guarantor, enforceable against such Guarantor in accordance with its terms and or to such other matters as the Trustee may reasonably request.</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Non-Impairment</w:t>
      </w:r>
      <w:r>
        <w:rPr>
          <w:rFonts w:ascii="Times New Roman" w:cs="Times New Roman" w:eastAsia="Times New Roman" w:hAnsi="Times New Roman"/>
          <w:sz w:val="22"/>
          <w:szCs w:val="22"/>
          <w:color w:val="auto"/>
        </w:rPr>
        <w:t>. The failure to endorse a Note Guarantee on any Note shall not affect or impair the validity thereof.</w:t>
      </w:r>
    </w:p>
    <w:p>
      <w:pPr>
        <w:spacing w:after="0" w:line="158"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11.08.</w:t>
      </w:r>
      <w:r>
        <w:rPr>
          <w:sz w:val="20"/>
          <w:szCs w:val="20"/>
          <w:color w:val="auto"/>
        </w:rPr>
        <w:tab/>
      </w:r>
      <w:r>
        <w:rPr>
          <w:rFonts w:ascii="Times New Roman" w:cs="Times New Roman" w:eastAsia="Times New Roman" w:hAnsi="Times New Roman"/>
          <w:sz w:val="21"/>
          <w:szCs w:val="21"/>
          <w:u w:val="single" w:color="auto"/>
          <w:color w:val="auto"/>
        </w:rPr>
        <w:t>Release of Guarantees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6" w:lineRule="auto"/>
        <w:tabs>
          <w:tab w:leader="none" w:pos="1777"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following paragraph and the terms of the Intercreditor Agreement, each Note Guarantee, once it becomes due, is a continuing guarantee and shall (i) remain in full force and effect until payment in full of all the Guaranteed Obligations, (ii) be binding upon each Guarantor and its successors and (iii) inure to the benefit of, and be enforceable by, the Trustee, the Holders and their successors, transferees and assigns.</w:t>
      </w:r>
    </w:p>
    <w:p>
      <w:pPr>
        <w:sectPr>
          <w:pgSz w:w="11900" w:h="16838" w:orient="portrait"/>
          <w:cols w:equalWidth="0" w:num="1">
            <w:col w:w="11240"/>
          </w:cols>
          <w:pgMar w:left="320" w:top="1422" w:right="339" w:bottom="1440" w:gutter="0" w:footer="0" w:header="0"/>
        </w:sectPr>
      </w:pPr>
    </w:p>
    <w:bookmarkStart w:id="155" w:name="page156"/>
    <w:bookmarkEnd w:id="155"/>
    <w:p>
      <w:pPr>
        <w:jc w:val="both"/>
        <w:ind w:firstLine="1304"/>
        <w:spacing w:after="0" w:line="257" w:lineRule="auto"/>
        <w:tabs>
          <w:tab w:leader="none" w:pos="176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Guarantee by a Guarantor shall be automatically and unconditionally released and discharged, and each Guarantor and its obligations under the Note Guarantees and this Indenture and under the Security Documents, including the Intercreditor Agreement, with respect to the Note Guarantees shall be released and discharged:</w:t>
      </w:r>
    </w:p>
    <w:p>
      <w:pPr>
        <w:spacing w:after="0" w:line="186" w:lineRule="exact"/>
        <w:rPr>
          <w:rFonts w:ascii="Times New Roman" w:cs="Times New Roman" w:eastAsia="Times New Roman" w:hAnsi="Times New Roman"/>
          <w:sz w:val="22"/>
          <w:szCs w:val="22"/>
          <w:color w:val="auto"/>
        </w:rPr>
      </w:pPr>
    </w:p>
    <w:p>
      <w:pPr>
        <w:jc w:val="both"/>
        <w:ind w:left="1300" w:firstLine="652"/>
        <w:spacing w:after="0" w:line="252" w:lineRule="auto"/>
        <w:tabs>
          <w:tab w:leader="none" w:pos="2426"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sale or other disposition (including by way of consolidation or merger) of Capital Stock of the relevant Guarantor or of a Parent thereof, such that such Guarantor ceases to be a Restricted Subsidiary, or the sale or disposition of all or substantially all the assets of the relevant Guarantor (other than to the Company or a Restricted Subsidiary), in each case in a transaction otherwise permitted by this Indenture;</w:t>
      </w:r>
    </w:p>
    <w:p>
      <w:pPr>
        <w:spacing w:after="0" w:line="179"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designation in accordance with this Indenture of the relevant Guarantor as an Unrestricted</w:t>
      </w:r>
    </w:p>
    <w:p>
      <w:pPr>
        <w:spacing w:after="0" w:line="29"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207"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defeasance or discharge of the applicable series of Notes, as provided in Article VIII or Article</w:t>
      </w:r>
    </w:p>
    <w:p>
      <w:pPr>
        <w:spacing w:after="0" w:line="39"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w:t>
      </w:r>
    </w:p>
    <w:p>
      <w:pPr>
        <w:spacing w:after="0" w:line="195" w:lineRule="exact"/>
        <w:rPr>
          <w:rFonts w:ascii="Times New Roman" w:cs="Times New Roman" w:eastAsia="Times New Roman" w:hAnsi="Times New Roman"/>
          <w:sz w:val="21"/>
          <w:szCs w:val="21"/>
          <w:color w:val="auto"/>
        </w:rPr>
      </w:pPr>
    </w:p>
    <w:p>
      <w:pPr>
        <w:jc w:val="both"/>
        <w:ind w:left="1300" w:firstLine="652"/>
        <w:spacing w:after="0" w:line="256" w:lineRule="auto"/>
        <w:tabs>
          <w:tab w:leader="none" w:pos="254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release of the Guarantor’s Note Guarantees under any Indebtedness that triggered such Guarantor’s obligation to Guarantee the Notes under the covenant described in Section 4.16; provided that no other Indebtedness is at the time Guaranteed by the Guarantor that would result in the requirement that the Guarantor provide Note Guarantees;</w:t>
      </w:r>
    </w:p>
    <w:p>
      <w:pPr>
        <w:spacing w:after="0" w:line="176" w:lineRule="exact"/>
        <w:rPr>
          <w:rFonts w:ascii="Times New Roman" w:cs="Times New Roman" w:eastAsia="Times New Roman" w:hAnsi="Times New Roman"/>
          <w:sz w:val="22"/>
          <w:szCs w:val="22"/>
          <w:color w:val="auto"/>
        </w:rPr>
      </w:pPr>
    </w:p>
    <w:p>
      <w:pPr>
        <w:ind w:left="1300" w:firstLine="652"/>
        <w:spacing w:after="0" w:line="271" w:lineRule="auto"/>
        <w:tabs>
          <w:tab w:leader="none" w:pos="2435"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full payment of all obligations of the Company and the Guarantors under this Indenture and the applicable series of Notes;</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652"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certain enforcement actions taken by the creditors under certain secured Indebtedness as provided under the Intercreditor Agreement; or</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under Article IX.</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hereby authorizes the Trustee to take all actions, including the granting of releases or waivers under the Intercreditor Agreement, to effectuate any release in accordance with the provisions of this Section 11.08, subject to customary and reasonably satisfactory protections and indemnifications provided by the Company to the Trustee.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Collateral, Security and Intercreditor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-21590</wp:posOffset>
            </wp:positionV>
            <wp:extent cx="2661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1920" cy="8255"/>
                    </a:xfrm>
                    <a:prstGeom prst="rect">
                      <a:avLst/>
                    </a:prstGeom>
                    <a:noFill/>
                  </pic:spPr>
                </pic:pic>
              </a:graphicData>
            </a:graphic>
          </wp:anchor>
        </w:drawing>
      </w:r>
    </w:p>
    <w:p>
      <w:pPr>
        <w:spacing w:after="0" w:line="187"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12.01.</w:t>
      </w:r>
      <w:r>
        <w:rPr>
          <w:sz w:val="20"/>
          <w:szCs w:val="20"/>
          <w:color w:val="auto"/>
        </w:rPr>
        <w:tab/>
      </w:r>
      <w:r>
        <w:rPr>
          <w:rFonts w:ascii="Times New Roman" w:cs="Times New Roman" w:eastAsia="Times New Roman" w:hAnsi="Times New Roman"/>
          <w:sz w:val="21"/>
          <w:szCs w:val="21"/>
          <w:u w:val="single" w:color="auto"/>
          <w:color w:val="auto"/>
        </w:rPr>
        <w:t>The Collateral.</w:t>
      </w:r>
    </w:p>
    <w:p>
      <w:pPr>
        <w:spacing w:after="0" w:line="220" w:lineRule="exact"/>
        <w:rPr>
          <w:sz w:val="20"/>
          <w:szCs w:val="20"/>
          <w:color w:val="auto"/>
        </w:rPr>
      </w:pPr>
    </w:p>
    <w:p>
      <w:pPr>
        <w:jc w:val="both"/>
        <w:ind w:firstLine="1304"/>
        <w:spacing w:after="0" w:line="257" w:lineRule="auto"/>
        <w:tabs>
          <w:tab w:leader="none" w:pos="1808"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for in Section 4.18, the due and punctual payment of the principal of, premium, if any, and interest on the Notes and the Note Guarantees when and as the same shall be due and payable, whether on an interest payment date, at maturity, by acceleration, repurchase, redemption or otherwise, interest on the overdue principal of and</w:t>
      </w:r>
    </w:p>
    <w:p>
      <w:pPr>
        <w:sectPr>
          <w:pgSz w:w="11900" w:h="16838" w:orient="portrait"/>
          <w:cols w:equalWidth="0" w:num="1">
            <w:col w:w="11240"/>
          </w:cols>
          <w:pgMar w:left="320" w:top="1422" w:right="339" w:bottom="1440" w:gutter="0" w:footer="0" w:header="0"/>
        </w:sectPr>
      </w:pPr>
    </w:p>
    <w:bookmarkStart w:id="156" w:name="page157"/>
    <w:bookmarkEnd w:id="156"/>
    <w:p>
      <w:pPr>
        <w:jc w:val="both"/>
        <w:spacing w:after="0" w:line="253" w:lineRule="auto"/>
        <w:rPr>
          <w:sz w:val="20"/>
          <w:szCs w:val="20"/>
          <w:color w:val="auto"/>
        </w:rPr>
      </w:pPr>
      <w:r>
        <w:rPr>
          <w:rFonts w:ascii="Times New Roman" w:cs="Times New Roman" w:eastAsia="Times New Roman" w:hAnsi="Times New Roman"/>
          <w:sz w:val="22"/>
          <w:szCs w:val="22"/>
          <w:color w:val="auto"/>
        </w:rPr>
        <w:t>interest (to the extent lawful), if any, on the Notes and the Note Guarantees and performance of all other obligations under this Indenture, the Notes, the Note Guarantees and the Security Documents, shall be secured by Liens, subject to Permitted Liens, as provided in the Security Documents which the Company and the Guarantors, as the case may be, have entered into on or prior to the date hereof and shall be secured as provided by all Security Documents hereafter delivered as required or permitted by this Indenture and the Security Documents, including the Intercreditor Agreement.</w:t>
      </w:r>
    </w:p>
    <w:p>
      <w:pPr>
        <w:spacing w:after="0" w:line="179" w:lineRule="exact"/>
        <w:rPr>
          <w:sz w:val="20"/>
          <w:szCs w:val="20"/>
          <w:color w:val="auto"/>
        </w:rPr>
      </w:pPr>
    </w:p>
    <w:p>
      <w:pPr>
        <w:jc w:val="both"/>
        <w:ind w:firstLine="1304"/>
        <w:spacing w:after="0" w:line="253" w:lineRule="auto"/>
        <w:tabs>
          <w:tab w:leader="none" w:pos="192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the Guarantors hereby agree that the Security Agent shall hold and administer the Collateral in trust for the benefit of all the Holders and the Trustee, in each case pursuant to the terms of the Security Documents, including the Intercreditor Agreement, and the Security Agent and the Trustee are hereby authorized to execute and deliver the Security Documents, including the Intercreditor Agreement and any other agreements, deeds or other documents in relation thereto, on behalf of all the Holders.</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89"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by its acceptance of any Notes and the Note Guarantees, and the Trustee, by entering into this Indenture, consents and agrees to and accepts the terms of the Security Documents, including the Intercreditor Agreement, as the same may be in effect or as may be amended from time to time in accordance with their terms and irrevocably authorizes and directs the Security Agent to:</w:t>
      </w:r>
    </w:p>
    <w:p>
      <w:pPr>
        <w:spacing w:after="0" w:line="192" w:lineRule="exact"/>
        <w:rPr>
          <w:rFonts w:ascii="Times New Roman" w:cs="Times New Roman" w:eastAsia="Times New Roman" w:hAnsi="Times New Roman"/>
          <w:sz w:val="22"/>
          <w:szCs w:val="22"/>
          <w:color w:val="auto"/>
        </w:rPr>
      </w:pPr>
    </w:p>
    <w:p>
      <w:pPr>
        <w:jc w:val="both"/>
        <w:ind w:left="1300" w:right="20" w:firstLine="652"/>
        <w:spacing w:after="0" w:line="257" w:lineRule="auto"/>
        <w:tabs>
          <w:tab w:leader="none" w:pos="2515"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the duties and exercise the rights, powers and discretions that are specifically given to it under the Intercreditor Agreement or the other documents to which the Security Agent is a party, together with any other incidental rights, power and discretions; and</w:t>
      </w:r>
    </w:p>
    <w:p>
      <w:pPr>
        <w:spacing w:after="0" w:line="172" w:lineRule="exact"/>
        <w:rPr>
          <w:rFonts w:ascii="Times New Roman" w:cs="Times New Roman" w:eastAsia="Times New Roman" w:hAnsi="Times New Roman"/>
          <w:sz w:val="22"/>
          <w:szCs w:val="22"/>
          <w:color w:val="auto"/>
        </w:rPr>
      </w:pPr>
    </w:p>
    <w:p>
      <w:pPr>
        <w:ind w:left="1300" w:firstLine="652"/>
        <w:spacing w:after="0" w:line="271" w:lineRule="auto"/>
        <w:tabs>
          <w:tab w:leader="none" w:pos="2477"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each Security Document, waiver, modification, amendment, renewal or replacement or any other document expressed to be executed by the Security Agent on its behalf.</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3"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and each Holder, by accepting the Notes and the Note Guarantees, acknowledges that, as more fully set forth in the Security Documents, including the Intercreditor Agreement, the Collateral as now or hereafter constituted shall be held for the benefit of all the Holders and the Trustee, and that the Lien of this Indenture and the Security Documents in respect of the Trustee and the Holders is subject to and qualified and limited in all respects by the Security Documents, including the Intercreditor Agreement, and actions that may be taken thereunder.</w:t>
      </w:r>
    </w:p>
    <w:p>
      <w:pPr>
        <w:spacing w:after="0" w:line="19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2"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this Indenture and the Security Documents, the Company and the Guarantors shall have the right to remain in possession and retain exclusive control of the Collateral securing the Notes, to freely operate the Collateral and to collect, invest and dispose of any income therefrom.</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u w:val="single" w:color="auto"/>
          <w:color w:val="auto"/>
        </w:rPr>
        <w:t>Limitations on the Collateral.</w:t>
      </w:r>
      <w:r>
        <w:rPr>
          <w:rFonts w:ascii="Times New Roman" w:cs="Times New Roman" w:eastAsia="Times New Roman" w:hAnsi="Times New Roman"/>
          <w:sz w:val="22"/>
          <w:szCs w:val="22"/>
          <w:color w:val="auto"/>
        </w:rPr>
        <w:t xml:space="preserve"> The Liens will be limited as necessary to recognize certain defenses generally available to providers of Liens (including those that relate to fraudulent conveyance or transfer, thin capitalization, voidable preference, financial</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71" w:lineRule="auto"/>
        <w:rPr>
          <w:sz w:val="20"/>
          <w:szCs w:val="20"/>
          <w:color w:val="auto"/>
        </w:rPr>
      </w:pPr>
      <w:r>
        <w:rPr>
          <w:rFonts w:ascii="Times New Roman" w:cs="Times New Roman" w:eastAsia="Times New Roman" w:hAnsi="Times New Roman"/>
          <w:sz w:val="22"/>
          <w:szCs w:val="22"/>
          <w:color w:val="auto"/>
        </w:rPr>
        <w:t>assistance, corporate benefit, capital maintenance or similar laws, regulations or defenses affecting the rights of creditors generally) or other considerations under applicable law.</w:t>
      </w:r>
    </w:p>
    <w:p>
      <w:pPr>
        <w:spacing w:after="0" w:line="158"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12.03. </w:t>
      </w:r>
      <w:r>
        <w:rPr>
          <w:rFonts w:ascii="Times New Roman" w:cs="Times New Roman" w:eastAsia="Times New Roman" w:hAnsi="Times New Roman"/>
          <w:sz w:val="21"/>
          <w:szCs w:val="21"/>
          <w:u w:val="single" w:color="auto"/>
          <w:color w:val="auto"/>
        </w:rPr>
        <w:t>Impairment of Security Interests.</w:t>
      </w:r>
      <w:r>
        <w:rPr>
          <w:rFonts w:ascii="Times New Roman" w:cs="Times New Roman" w:eastAsia="Times New Roman" w:hAnsi="Times New Roman"/>
          <w:sz w:val="21"/>
          <w:szCs w:val="21"/>
          <w:color w:val="auto"/>
        </w:rPr>
        <w:t xml:space="preserve"> The Company shall not, and shall not permit any Restricted Subsidiary to, take or omit to take any action, which action or omission would have the result of materially impairing the security interest with respect to the Collateral (it being understood that the Incurrence of Permitted Collateral Liens shall under no circumstances be deemed to materially impair the security interest with respect to the Collateral) for the benefit of the Trustee and the Holders, and the Company shall not, and shall not permit any Restricted Subsidiary to, grant to any Person other than the Security Agent, for the benefit of the Trustee and the Holders and the other beneficiaries described in the Security Documents, any interest whatsoever in any of the Collateral that is prohibited by Section 4.12;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and its Restricted Subsidiaries may Incur Permitted Collateral Liens and the Collateral may be discharged, transferred or released in accordance with this Indenture, the Intercreditor Agreement or the applicable Security Documents. Notwithstanding the above, nothing in this Section 12.03 shall restrict the discharge and release of any security interest in accordance with this Indenture and the Intercreditor Agreement. Subject to the foregoing, the Security Documents may be amended, extended, renewed, restated, supplemented or otherwise modified or released (followed by an immediate retaking of a Lien of at least equivalent ranking over the same assets) to (i) cure any ambiguity, omission, defect or inconsistency therein; (ii) provide for Permitted Collateral Liens;</w:t>
      </w:r>
    </w:p>
    <w:p>
      <w:pPr>
        <w:spacing w:after="0" w:line="11" w:lineRule="exact"/>
        <w:rPr>
          <w:sz w:val="20"/>
          <w:szCs w:val="20"/>
          <w:color w:val="auto"/>
        </w:rPr>
      </w:pPr>
    </w:p>
    <w:p>
      <w:pPr>
        <w:jc w:val="both"/>
        <w:ind w:firstLine="8"/>
        <w:spacing w:after="0" w:line="245" w:lineRule="auto"/>
        <w:tabs>
          <w:tab w:leader="none" w:pos="379"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 to the Collateral; or (iv) make any other change thereto that does not adversely affect the Holders in any material respect;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where permitted by this Indenture and the Intercreditor Agreement, no Security Document may be amended, extended, renewed, restated, supplemented or otherwise modified or released (followed by an immediate retaking of a Lien of at least equivalent ranking over the same assets), unless contemporaneously with such amendment, extension, renewal, restatement, supplement or modification or release (followed by an immediate retaking of a Lien of at least equivalent ranking over the same assets), the Company delivers to the Security Agent and the Trustee, either (1) a solvency opinion, in form and substance reasonably satisfactory to the Security Agent and the Trustee, from an Independent Financial Advisor or appraiser or investment bank of international standing which confirms the solvency of the Company and its Subsidiaries, taken as a whole, after giving effect to any transactions related to such amendment, extension, renewal, restatement, supplement, modification or release (followed by an immediate retaking of a Lien of at least equivalent ranking over the same assets), (2) a certificate from the chief financial officer or the Board of Directors of the relevant Person which confirms the solvency of the person granting the security interest after giving effect to any transactions related to such amendment, extension, renewal, restatement, supplement, modification or release (followed by an immediate retaking of a Lien of at least equivalent ranking over the same assets), or (3) an Opinion of Counsel (subject to any qualifications customary for this type of Opinion of Counsel), in form and substance reasonably satisfactory to the Security Agent and the Trustee, confirming that, after giving effect to any transactions related to such amendment, extension, renewal, restatement, supplement, modification or release (followed by an immediate retaking of a Lien of at least equivalent ranking over the same assets), the Lien or Liens created under the Security Document, so amended, extended, renewed, restated, supplemented, modified or released and retaken, are valid and perfected Liens not otherwise subject to any limitation, imperfection or</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53" w:lineRule="auto"/>
        <w:rPr>
          <w:sz w:val="20"/>
          <w:szCs w:val="20"/>
          <w:color w:val="auto"/>
        </w:rPr>
      </w:pPr>
      <w:r>
        <w:rPr>
          <w:rFonts w:ascii="Times New Roman" w:cs="Times New Roman" w:eastAsia="Times New Roman" w:hAnsi="Times New Roman"/>
          <w:sz w:val="22"/>
          <w:szCs w:val="22"/>
          <w:color w:val="auto"/>
        </w:rPr>
        <w:t>new hardening period, in equity or at law, that such Lien or Liens were not otherwise subject to immediately prior to such amendment, extension, renewal, restatement, supplement, modification or release and retake and to which the new Indebtedness secured by the Permitted Collateral Lien is not subject. In the event that the Company and its Restricted Subsidiaries comply with the requirements of this Section 12.03, the Trustee and the Security Agent shall (subject to customary protections and indemnifications) consent to such amendments without the need for instructions from the Holders.</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u w:val="single" w:color="auto"/>
          <w:color w:val="auto"/>
        </w:rPr>
        <w:t>Release of Liens on the Collateral.</w:t>
      </w:r>
      <w:r>
        <w:rPr>
          <w:rFonts w:ascii="Times New Roman" w:cs="Times New Roman" w:eastAsia="Times New Roman" w:hAnsi="Times New Roman"/>
          <w:sz w:val="22"/>
          <w:szCs w:val="22"/>
          <w:color w:val="auto"/>
        </w:rPr>
        <w:t xml:space="preserve"> Subject to the terms of each of the Intercreditor Agreement, as applicable, or any Additional Intercreditor Agreement, the Security Agent shall release, and the Trustee shall release and if so requested direct the Security Agent to release, without the need for consent of the Holders, Liens on the Collateral securing the Notes:</w:t>
      </w:r>
    </w:p>
    <w:p>
      <w:pPr>
        <w:spacing w:after="0" w:line="176" w:lineRule="exact"/>
        <w:rPr>
          <w:sz w:val="20"/>
          <w:szCs w:val="20"/>
          <w:color w:val="auto"/>
        </w:rPr>
      </w:pPr>
    </w:p>
    <w:p>
      <w:pPr>
        <w:ind w:firstLine="1304"/>
        <w:spacing w:after="0" w:line="271" w:lineRule="auto"/>
        <w:tabs>
          <w:tab w:leader="none" w:pos="178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payment in full of principal, interest and all other obligations on the Notes issued under this Indenture or discharge or defeasance thereof;</w:t>
      </w:r>
    </w:p>
    <w:p>
      <w:pPr>
        <w:spacing w:after="0" w:line="157"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release of a Note Guarantee (with respect to the Liens securing such Note Guarantee granted by such</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w:t>
      </w:r>
    </w:p>
    <w:p>
      <w:pPr>
        <w:spacing w:after="0" w:line="19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14"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disposition of Collateral to any Person, other than the Company or any of its Restricted Subsidiaries, or to a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Collateral is disposed to such Guarantor, the relevant Collateral becomes immediately subject to a substantially equivalent Lien in favor of the Security Agent securing the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each case, such disposition is permitted by this Indenture;</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178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designates any Guarantor to be an Unrestricted Subsidiary in accordance with the applicable provisions of this Indenture, the release of the property, assets and Capital Stock of such Unrestricted Subsidiary;</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provided under Section 12.03;</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76"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certain enforcement actions taken by the creditors under certain secured Indebtedness as provided under the Intercreditor Agreement; and</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described under Article IX.</w:t>
      </w:r>
    </w:p>
    <w:p>
      <w:pPr>
        <w:spacing w:after="0" w:line="220"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Each of these releases shall be effected by the Security Agent without the consent of the Holders or any action on the part of the Trustee.</w:t>
      </w:r>
    </w:p>
    <w:p>
      <w:pPr>
        <w:spacing w:after="0" w:line="144"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u w:val="single" w:color="auto"/>
          <w:color w:val="auto"/>
        </w:rPr>
        <w:t>Additional Intercreditor Agreement.</w:t>
      </w:r>
      <w:r>
        <w:rPr>
          <w:rFonts w:ascii="Times New Roman" w:cs="Times New Roman" w:eastAsia="Times New Roman" w:hAnsi="Times New Roman"/>
          <w:sz w:val="22"/>
          <w:szCs w:val="22"/>
          <w:color w:val="auto"/>
        </w:rPr>
        <w:t xml:space="preserve"> At the request of the Company, in connection with the Incurrence or refinancing by the Company or its Restricted Subsidiaries of any Indebtedness secured or permitted to be secured on the Collateral, the Company, the relevant Restricted Subsidiaries, the Trustee and the Security Agent shall enter into an intercreditor or similar agreement or a restatement, amendment or other modification of the existing Intercreditor Agreement (an “</w:t>
      </w:r>
      <w:r>
        <w:rPr>
          <w:rFonts w:ascii="Times New Roman" w:cs="Times New Roman" w:eastAsia="Times New Roman" w:hAnsi="Times New Roman"/>
          <w:sz w:val="22"/>
          <w:szCs w:val="22"/>
          <w:u w:val="single" w:color="auto"/>
          <w:color w:val="auto"/>
        </w:rPr>
        <w:t>Additional Intercreditor Agreement</w:t>
      </w:r>
      <w:r>
        <w:rPr>
          <w:rFonts w:ascii="Times New Roman" w:cs="Times New Roman" w:eastAsia="Times New Roman" w:hAnsi="Times New Roman"/>
          <w:sz w:val="22"/>
          <w:szCs w:val="22"/>
          <w:color w:val="auto"/>
        </w:rPr>
        <w:t>”) with the holders</w:t>
      </w:r>
    </w:p>
    <w:p>
      <w:pPr>
        <w:sectPr>
          <w:pgSz w:w="11900" w:h="16838" w:orient="portrait"/>
          <w:cols w:equalWidth="0" w:num="1">
            <w:col w:w="11240"/>
          </w:cols>
          <w:pgMar w:left="320" w:top="1422" w:right="339" w:bottom="1440" w:gutter="0" w:footer="0" w:header="0"/>
        </w:sectPr>
      </w:pPr>
    </w:p>
    <w:bookmarkStart w:id="159" w:name="page160"/>
    <w:bookmarkEnd w:id="159"/>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of such Indebtedness (or their duly authorized representatives) on substantially the same terms as the Intercreditor Agreement (or on terms that in the good faith judgment of the Company are not materially less favorable to the Holders), including containing substantially the same terms with respect to the application of the proceeds of the collateral held thereunder and the means of enforcement, it being understood that an increase in the amount of Indebtedness being subject to the terms of the Intercreditor Agreement or Additional Intercreditor Agreement shall not be deemed to be less favorable to the Holders and shall be permitted by this Section 12.05 if the incurrence of such Indebtedness and any Lien in its favor is permitted by Section 4.09 and Section 4.12;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Additional Intercreditor Agreement shall not impose any personal obligations on the Trustee or Security Agent or, in the opinion of the Trustee or Security Agent, adversely affect the rights, duties, liabilities, indemnities or immunities of the Trustee or Security Agent under this Indenture or the Intercreditor Agreement. As used herein, the term “</w:t>
      </w:r>
      <w:r>
        <w:rPr>
          <w:rFonts w:ascii="Times New Roman" w:cs="Times New Roman" w:eastAsia="Times New Roman" w:hAnsi="Times New Roman"/>
          <w:sz w:val="22"/>
          <w:szCs w:val="22"/>
          <w:u w:val="single" w:color="auto"/>
          <w:color w:val="auto"/>
        </w:rPr>
        <w:t>Intercreditor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shall include references to any Additional Intercreditor Agreement that supplements or replaces the Intercreditor Agreement.</w:t>
      </w:r>
    </w:p>
    <w:p>
      <w:pPr>
        <w:spacing w:after="0" w:line="189"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u w:val="single" w:color="auto"/>
          <w:color w:val="auto"/>
        </w:rPr>
        <w:t>Amendments to the Intercreditor Agreement.</w:t>
      </w:r>
      <w:r>
        <w:rPr>
          <w:rFonts w:ascii="Times New Roman" w:cs="Times New Roman" w:eastAsia="Times New Roman" w:hAnsi="Times New Roman"/>
          <w:sz w:val="22"/>
          <w:szCs w:val="22"/>
          <w:color w:val="auto"/>
        </w:rPr>
        <w:t xml:space="preserve"> At the written direction of the Company and without the consent of the Holders, the Trustee or Security Agent shall from time to time enter into one or more amendments to any Intercreditor Agreement to: (i) cure any ambiguity, omission, defect or inconsistency of any such agreement, (ii) increase the amount or types of Indebtedness covered by any such agreement that may be Incurred by the Company or its Restricted Subsidiaries that is subject to any such agreement (provided that such Indebtedness is Incurred in compliance with this Indenture) (including, with respect to any Intercreditor Agreement or Additional Intercreditor Agreement, the addition of provisions relating to new Indebtedness ranking junior in right of payment to the Notes), (iii) add Restricted Subsidiaries to such Intercreditor Agreement, (iv) further secure the Notes (including Additional Notes incurred in compliance with this Indenture), (v) make provision for equal and ratable pledges of the Collateral to secure Additional Notes incurred in compliance with this Indenture or to implement any Permitted Collateral Liens or (vi) make any other change to any such agreement that does not adversely affect the Holders in any material respect. The Company shall not otherwise direct the Trustee or Security Agent to enter into any amendment to any Intercreditor Agreement without the consent of the Holders of a majority in aggregate principal amount of the Notes then outstanding, except as otherwise permitted by Section 9.01 or as permitted by the terms of such Intercreditor Agreement, and the Company may only direct the Trustee or Security Agent to enter into any amendment to the extent such amendment does not impose any personal obligations on the Trustee or Security Agent or, in the opinion of the Trustee or Security Agent, adversely affect the rights, duties, liabilities, indemnities or immunities of the Trustee or Security Agent under this Indenture relating to the Notes or any Intercreditor Agreement.</w:t>
      </w:r>
    </w:p>
    <w:p>
      <w:pPr>
        <w:spacing w:after="0" w:line="191"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12.07.</w:t>
      </w:r>
      <w:r>
        <w:rPr>
          <w:sz w:val="20"/>
          <w:szCs w:val="20"/>
          <w:color w:val="auto"/>
        </w:rPr>
        <w:tab/>
      </w:r>
      <w:r>
        <w:rPr>
          <w:rFonts w:ascii="Times New Roman" w:cs="Times New Roman" w:eastAsia="Times New Roman" w:hAnsi="Times New Roman"/>
          <w:sz w:val="21"/>
          <w:szCs w:val="21"/>
          <w:u w:val="single" w:color="auto"/>
          <w:color w:val="auto"/>
        </w:rPr>
        <w:t>Security Agent.</w:t>
      </w:r>
    </w:p>
    <w:p>
      <w:pPr>
        <w:spacing w:after="0" w:line="220" w:lineRule="exact"/>
        <w:rPr>
          <w:sz w:val="20"/>
          <w:szCs w:val="20"/>
          <w:color w:val="auto"/>
        </w:rPr>
      </w:pPr>
    </w:p>
    <w:p>
      <w:pPr>
        <w:ind w:firstLine="1304"/>
        <w:spacing w:after="0" w:line="284" w:lineRule="auto"/>
        <w:tabs>
          <w:tab w:leader="none" w:pos="1884"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Documents and the Collateral will be administered by the Security Agent pursuant to the Intercreditor Agreement for the benefit of all holders of secured obligations.</w:t>
      </w:r>
    </w:p>
    <w:p>
      <w:pPr>
        <w:sectPr>
          <w:pgSz w:w="11900" w:h="16838" w:orient="portrait"/>
          <w:cols w:equalWidth="0" w:num="1">
            <w:col w:w="11240"/>
          </w:cols>
          <w:pgMar w:left="320" w:top="1422" w:right="339" w:bottom="1440" w:gutter="0" w:footer="0" w:header="0"/>
        </w:sectPr>
      </w:pPr>
    </w:p>
    <w:bookmarkStart w:id="160" w:name="page161"/>
    <w:bookmarkEnd w:id="160"/>
    <w:p>
      <w:pPr>
        <w:ind w:firstLine="1304"/>
        <w:spacing w:after="0" w:line="271" w:lineRule="auto"/>
        <w:tabs>
          <w:tab w:leader="none" w:pos="185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or replacement of the Security Agent shall be made in accordance with the terms of the Intercreditor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XIII</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7" w:lineRule="exact"/>
        <w:rPr>
          <w:sz w:val="20"/>
          <w:szCs w:val="20"/>
          <w:color w:val="auto"/>
        </w:rPr>
      </w:pPr>
    </w:p>
    <w:p>
      <w:pPr>
        <w:ind w:right="2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13.01. </w:t>
      </w:r>
      <w:r>
        <w:rPr>
          <w:rFonts w:ascii="Times New Roman" w:cs="Times New Roman" w:eastAsia="Times New Roman" w:hAnsi="Times New Roman"/>
          <w:sz w:val="22"/>
          <w:szCs w:val="22"/>
          <w:u w:val="single" w:color="auto"/>
          <w:color w:val="auto"/>
        </w:rPr>
        <w:t>Agreement and Acknowledgement with Respect to the Exercise of the Bail-in Power.</w:t>
      </w:r>
      <w:r>
        <w:rPr>
          <w:rFonts w:ascii="Times New Roman" w:cs="Times New Roman" w:eastAsia="Times New Roman" w:hAnsi="Times New Roman"/>
          <w:sz w:val="22"/>
          <w:szCs w:val="22"/>
          <w:color w:val="auto"/>
        </w:rPr>
        <w:t xml:space="preserve"> Notwithstanding any other terms of this Indenture or any other agreement, arrangement or understanding between the parties to this Indenture, each of the parties to this Indenture acknowledges and accepts that any BRRD Liability arising under or in connection with this Indenture may be subject to Bail-In Action by the relevant Resolution Authority and acknowledges and accepts to be bound by the effect of:</w:t>
      </w:r>
    </w:p>
    <w:p>
      <w:pPr>
        <w:spacing w:after="0" w:line="179" w:lineRule="exact"/>
        <w:rPr>
          <w:sz w:val="20"/>
          <w:szCs w:val="20"/>
          <w:color w:val="auto"/>
        </w:rPr>
      </w:pPr>
    </w:p>
    <w:p>
      <w:pPr>
        <w:ind w:left="1760" w:hanging="456"/>
        <w:spacing w:after="0"/>
        <w:tabs>
          <w:tab w:leader="none" w:pos="17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Bail-In Action in relation to any such liability, including (without limitation):</w:t>
      </w:r>
    </w:p>
    <w:p>
      <w:pPr>
        <w:spacing w:after="0" w:line="219" w:lineRule="exact"/>
        <w:rPr>
          <w:rFonts w:ascii="Times New Roman" w:cs="Times New Roman" w:eastAsia="Times New Roman" w:hAnsi="Times New Roman"/>
          <w:sz w:val="22"/>
          <w:szCs w:val="22"/>
          <w:color w:val="auto"/>
        </w:rPr>
      </w:pPr>
    </w:p>
    <w:p>
      <w:pPr>
        <w:ind w:left="1300" w:firstLine="652"/>
        <w:spacing w:after="0" w:line="271" w:lineRule="auto"/>
        <w:tabs>
          <w:tab w:leader="none" w:pos="2521"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in the principal amount, or outstanding amount due (including any accrued but unpaid interest) in respect of any such liability;</w:t>
      </w:r>
    </w:p>
    <w:p>
      <w:pPr>
        <w:spacing w:after="0" w:line="157" w:lineRule="exact"/>
        <w:rPr>
          <w:rFonts w:ascii="Times New Roman" w:cs="Times New Roman" w:eastAsia="Times New Roman" w:hAnsi="Times New Roman"/>
          <w:sz w:val="22"/>
          <w:szCs w:val="22"/>
          <w:color w:val="auto"/>
        </w:rPr>
      </w:pPr>
    </w:p>
    <w:p>
      <w:pPr>
        <w:ind w:left="1300" w:firstLine="652"/>
        <w:spacing w:after="0" w:line="271" w:lineRule="auto"/>
        <w:tabs>
          <w:tab w:leader="none" w:pos="248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part of, any such liability into shares or other instruments of ownership that may be issued to, or conferred on, it;</w:t>
      </w:r>
    </w:p>
    <w:p>
      <w:pPr>
        <w:spacing w:after="0" w:line="171"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cancellation of any such liability; and</w:t>
      </w:r>
    </w:p>
    <w:p>
      <w:pPr>
        <w:spacing w:after="0" w:line="219" w:lineRule="exact"/>
        <w:rPr>
          <w:rFonts w:ascii="Times New Roman" w:cs="Times New Roman" w:eastAsia="Times New Roman" w:hAnsi="Times New Roman"/>
          <w:sz w:val="22"/>
          <w:szCs w:val="22"/>
          <w:color w:val="auto"/>
        </w:rPr>
      </w:pPr>
    </w:p>
    <w:p>
      <w:pPr>
        <w:ind w:left="1300" w:right="20" w:firstLine="652"/>
        <w:spacing w:after="0" w:line="271" w:lineRule="auto"/>
        <w:tabs>
          <w:tab w:leader="none" w:pos="2435"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or alteration of any interest, if applicable, thereon, the maturity or the dates on which any payments are due, including by suspending payment for a temporary period; and</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865"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variation of any terms of the agreement to the extent necessary to give effect to any Bail-In Action in relation to any such liability.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notice or communication by the Company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any Guarantor: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Encore Capital Group,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350 Camino de la Reina, Suite 100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Diego, California 92108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Treasury2@MCMCG.COM</w:t>
      </w:r>
    </w:p>
    <w:p>
      <w:pPr>
        <w:sectPr>
          <w:pgSz w:w="11900" w:h="16838" w:orient="portrait"/>
          <w:cols w:equalWidth="0" w:num="1">
            <w:col w:w="11240"/>
          </w:cols>
          <w:pgMar w:left="320" w:top="1422" w:right="339" w:bottom="1440" w:gutter="0" w:footer="0" w:header="0"/>
        </w:sectPr>
      </w:pPr>
    </w:p>
    <w:bookmarkStart w:id="161" w:name="page162"/>
    <w:bookmarkEnd w:id="161"/>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White &amp; Case LLP</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5 Old Broad Street</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London EC2N 1DW</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Kingdom</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+44(0)20 7532 1001</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Monica Holden</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mholden@whitecase.com</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Trustee:</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Email: ClientServices.Americas@glas.agency</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Principal Paying Agent:</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United States</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Email: ClientServices.Americas@glas.agency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Transfer Agent:</w:t>
      </w:r>
    </w:p>
    <w:p>
      <w:pPr>
        <w:sectPr>
          <w:pgSz w:w="11900" w:h="16838" w:orient="portrait"/>
          <w:cols w:equalWidth="0" w:num="1">
            <w:col w:w="9019"/>
          </w:cols>
          <w:pgMar w:left="1440" w:top="1440" w:right="1440" w:bottom="1440" w:gutter="0" w:footer="0" w:header="0"/>
        </w:sectPr>
      </w:pPr>
    </w:p>
    <w:bookmarkStart w:id="162" w:name="page163"/>
    <w:bookmarkEnd w:id="162"/>
    <w:p>
      <w:pPr>
        <w:ind w:left="13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ClientServices.Americas@glas.agency</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Registrar: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 Second Street, Suite 203</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Jersey City, New Jersey 07311</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212-202-6246</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Administrator / Encore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ClientServices.Americas@glas.agency</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GLAS Trust Company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Facsimile: +44 (0) 20 3070 0113</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Manager DCM / Encore</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Security Agent:</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Truist Bank</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303 Peachtree St NE, Suite 1520</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Atlanta, GA 30308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Madison Waterfield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madison.waterfield@truist.com</w:t>
      </w:r>
    </w:p>
    <w:p>
      <w:pPr>
        <w:spacing w:after="0" w:line="20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Company, any Guarantor, the Trustee or the Security Agent, by notice to the others, may designate additional or different addresses for subsequent notices or communications.</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All notices to the Holders shall be validly given if mailed to them at their respective addresses in the register of the Holders, if any, maintained by the Registrar. For so long as any Notes are represented by Global Notes, all notices to Holders will be delivered to</w:t>
      </w:r>
    </w:p>
    <w:p>
      <w:pPr>
        <w:sectPr>
          <w:pgSz w:w="11900" w:h="16838" w:orient="portrait"/>
          <w:cols w:equalWidth="0" w:num="1">
            <w:col w:w="11240"/>
          </w:cols>
          <w:pgMar w:left="320" w:top="1422" w:right="339" w:bottom="1440" w:gutter="0" w:footer="0" w:header="0"/>
        </w:sectPr>
      </w:pPr>
    </w:p>
    <w:bookmarkStart w:id="163" w:name="page164"/>
    <w:bookmarkEnd w:id="163"/>
    <w:p>
      <w:pPr>
        <w:jc w:val="both"/>
        <w:spacing w:after="0" w:line="251" w:lineRule="auto"/>
        <w:rPr>
          <w:sz w:val="20"/>
          <w:szCs w:val="20"/>
          <w:color w:val="auto"/>
        </w:rPr>
      </w:pPr>
      <w:r>
        <w:rPr>
          <w:rFonts w:ascii="Times New Roman" w:cs="Times New Roman" w:eastAsia="Times New Roman" w:hAnsi="Times New Roman"/>
          <w:sz w:val="22"/>
          <w:szCs w:val="22"/>
          <w:color w:val="auto"/>
        </w:rPr>
        <w:t>DTC, Euroclear and Clearstream, delivery of which shall be deemed to satisfy the requirements of this paragraph, each of which will give such notices to the holders of Book-Entry Interests. In addition, for so long as any of the Notes are listed on the official list of the Exchange and admitted to trading on the Euro MTF Market and the rules and regulations of the Exchange so require, notices with respect to the Notes listed on the Exchange and admitted to trading on the Euro MTF Market will be communicated to the Exchange and published on the official website of the Exchange or if, in the opinion of the Trustee such publication is not practicable, in an English language newspaper having general circulation in Europe.</w:t>
      </w:r>
    </w:p>
    <w:p>
      <w:pPr>
        <w:spacing w:after="0" w:line="181"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Each such notice shall be deemed to have been given on the date of such publication or, if published more than once on different dates, on the first date on which publication is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notices are mailed, such notice shall be deemed to have been given on the later of such publication and the seventh day after being so mailed.</w:t>
      </w:r>
    </w:p>
    <w:p>
      <w:pPr>
        <w:spacing w:after="0" w:line="16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Any notice or communication mailed to a Holder shall be mailed to such Person by first class mail or other equivalent means and shall be sufficiently given to such Person if so mailed within the time prescribed. Failure to mail a notice or communication to a Holder or any defect in it shall not affect its sufficiency with respect to other Holders.</w:t>
      </w:r>
    </w:p>
    <w:p>
      <w:pPr>
        <w:spacing w:after="0" w:line="17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If a notice or communication is mailed in the manner provided above, it is duly given, whether or not the addressee receives it.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If the Company mails a notice or communication to Holders, it shall mail a copy to the Trustee and each Agent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same time.</w:t>
      </w:r>
    </w:p>
    <w:p>
      <w:pPr>
        <w:spacing w:after="0" w:line="196" w:lineRule="exact"/>
        <w:rPr>
          <w:sz w:val="20"/>
          <w:szCs w:val="20"/>
          <w:color w:val="auto"/>
        </w:rPr>
      </w:pPr>
    </w:p>
    <w:p>
      <w:pPr>
        <w:ind w:left="1300"/>
        <w:spacing w:after="0"/>
        <w:tabs>
          <w:tab w:leader="none" w:pos="3000" w:val="left"/>
        </w:tabs>
        <w:rPr>
          <w:sz w:val="20"/>
          <w:szCs w:val="20"/>
          <w:color w:val="auto"/>
        </w:rPr>
      </w:pPr>
      <w:r>
        <w:rPr>
          <w:rFonts w:ascii="Times New Roman" w:cs="Times New Roman" w:eastAsia="Times New Roman" w:hAnsi="Times New Roman"/>
          <w:sz w:val="22"/>
          <w:szCs w:val="22"/>
          <w:color w:val="auto"/>
        </w:rPr>
        <w:t>SECTION 13.03.</w:t>
      </w:r>
      <w:r>
        <w:rPr>
          <w:sz w:val="20"/>
          <w:szCs w:val="20"/>
          <w:color w:val="auto"/>
        </w:rPr>
        <w:tab/>
      </w:r>
      <w:r>
        <w:rPr>
          <w:rFonts w:ascii="Times New Roman" w:cs="Times New Roman" w:eastAsia="Times New Roman" w:hAnsi="Times New Roman"/>
          <w:sz w:val="21"/>
          <w:szCs w:val="21"/>
          <w:u w:val="single" w:color="auto"/>
          <w:color w:val="auto"/>
        </w:rPr>
        <w:t>Communications.</w:t>
      </w:r>
    </w:p>
    <w:p>
      <w:pPr>
        <w:spacing w:after="0" w:line="220" w:lineRule="exact"/>
        <w:rPr>
          <w:sz w:val="20"/>
          <w:szCs w:val="20"/>
          <w:color w:val="auto"/>
        </w:rPr>
      </w:pPr>
    </w:p>
    <w:p>
      <w:pPr>
        <w:jc w:val="both"/>
        <w:ind w:firstLine="1304"/>
        <w:spacing w:after="0" w:line="256" w:lineRule="auto"/>
        <w:tabs>
          <w:tab w:leader="none" w:pos="185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Agents or any other entity of GLAS Trust Company LLC be liable for any Losses arising from the Agent or any other entity of GLAS Trust Company LLC receiving or transmitting any data from the Company, any authorized Person or Officer or any party to the transaction via any non-secure method of transmission or communication, such as, but without limitation, by facsimile or email.</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7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accept that some methods of communication are not secure and the Trustee, the Agents or any other entity of GLAS Trust Company LLC shall incur no liability for receiving instructions via any such non-secure method. The Agents or any other entity of GLAS Trust Company LLC is authorized to comply with and rely upon any such notice, instructions or other communications believed by it to have been sent or given by an authorized Person or Officer or an appropriate party to the transaction (or authorized representative thereof). The Company or authorized officer of the Company shall use all reasonable endeavors to ensure that instructions transmitted to an Agent or any other entity of GLAS Trust Company LLC pursuant to this Indenture are complete and correct. Any instructions shall be conclusively deemed to be valid instructions from the Company or authorized officer of the Company to such Agent or any other entity of GLAS Trust Company LLC for the purposes of this Indenture.</w:t>
      </w:r>
    </w:p>
    <w:p>
      <w:pPr>
        <w:sectPr>
          <w:pgSz w:w="11900" w:h="16838" w:orient="portrait"/>
          <w:cols w:equalWidth="0" w:num="1">
            <w:col w:w="11240"/>
          </w:cols>
          <w:pgMar w:left="320" w:top="1422" w:right="339" w:bottom="1440" w:gutter="0" w:footer="0" w:header="0"/>
        </w:sectPr>
      </w:pPr>
    </w:p>
    <w:bookmarkStart w:id="164" w:name="page165"/>
    <w:bookmarkEnd w:id="164"/>
    <w:p>
      <w:pPr>
        <w:ind w:left="1300"/>
        <w:spacing w:after="0"/>
        <w:tabs>
          <w:tab w:leader="none" w:pos="3100" w:val="left"/>
        </w:tabs>
        <w:rPr>
          <w:sz w:val="20"/>
          <w:szCs w:val="20"/>
          <w:color w:val="auto"/>
        </w:rPr>
      </w:pPr>
      <w:r>
        <w:rPr>
          <w:rFonts w:ascii="Times New Roman" w:cs="Times New Roman" w:eastAsia="Times New Roman" w:hAnsi="Times New Roman"/>
          <w:sz w:val="22"/>
          <w:szCs w:val="22"/>
          <w:color w:val="auto"/>
        </w:rPr>
        <w:t>SECTION 13.04.</w:t>
      </w:r>
      <w:r>
        <w:rPr>
          <w:sz w:val="20"/>
          <w:szCs w:val="20"/>
          <w:color w:val="auto"/>
        </w:rPr>
        <w:tab/>
      </w:r>
      <w:r>
        <w:rPr>
          <w:rFonts w:ascii="Times New Roman" w:cs="Times New Roman" w:eastAsia="Times New Roman" w:hAnsi="Times New Roman"/>
          <w:sz w:val="22"/>
          <w:szCs w:val="22"/>
          <w:u w:val="single" w:color="auto"/>
          <w:color w:val="auto"/>
        </w:rPr>
        <w:t xml:space="preserve">Certificate and Opinion as to Conditions Precedent. </w:t>
      </w:r>
      <w:r>
        <w:rPr>
          <w:rFonts w:ascii="Times New Roman" w:cs="Times New Roman" w:eastAsia="Times New Roman" w:hAnsi="Times New Roman"/>
          <w:sz w:val="22"/>
          <w:szCs w:val="22"/>
          <w:color w:val="auto"/>
        </w:rPr>
        <w:t>Upon any request or application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to the Trustee to take any action under this Indenture, the Company shall furnish to the Trustee:</w:t>
      </w:r>
    </w:p>
    <w:p>
      <w:pPr>
        <w:spacing w:after="0" w:line="196" w:lineRule="exact"/>
        <w:rPr>
          <w:sz w:val="20"/>
          <w:szCs w:val="20"/>
          <w:color w:val="auto"/>
        </w:rPr>
      </w:pPr>
    </w:p>
    <w:p>
      <w:pPr>
        <w:jc w:val="both"/>
        <w:ind w:firstLine="1304"/>
        <w:spacing w:after="0" w:line="263" w:lineRule="auto"/>
        <w:tabs>
          <w:tab w:leader="none" w:pos="178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in form and substance satisfactory to the Trustee (which must include the statements set forth in Section 13.05) stating that, in the opinion of the signer, all conditions precedent and covenants, if any, provided for in this Indenture relating to the proposed action have been complied with; and</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6"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in form and substance satisfactory to the Trustee (which must include the statements set forth in Section 13.05) stating that, in the opinion of such counsel, all such conditions precedent and covenants have been complied with.</w:t>
      </w:r>
    </w:p>
    <w:p>
      <w:pPr>
        <w:spacing w:after="0" w:line="18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22"/>
          <w:szCs w:val="22"/>
          <w:color w:val="auto"/>
        </w:rPr>
        <w:t xml:space="preserve">SECTION 13.05. </w:t>
      </w:r>
      <w:r>
        <w:rPr>
          <w:rFonts w:ascii="Times New Roman" w:cs="Times New Roman" w:eastAsia="Times New Roman" w:hAnsi="Times New Roman"/>
          <w:sz w:val="22"/>
          <w:szCs w:val="22"/>
          <w:u w:val="single" w:color="auto"/>
          <w:color w:val="auto"/>
        </w:rPr>
        <w:t>Statements Required in Certificate or Opinion.</w:t>
      </w:r>
      <w:r>
        <w:rPr>
          <w:rFonts w:ascii="Times New Roman" w:cs="Times New Roman" w:eastAsia="Times New Roman" w:hAnsi="Times New Roman"/>
          <w:sz w:val="22"/>
          <w:szCs w:val="22"/>
          <w:color w:val="auto"/>
        </w:rPr>
        <w:t xml:space="preserve"> Each certificate or opinion with respect to compliance with a condition or covenant provided for in this Indenture must include:</w:t>
      </w:r>
    </w:p>
    <w:p>
      <w:pPr>
        <w:spacing w:after="0" w:line="2" w:lineRule="exact"/>
        <w:rPr>
          <w:sz w:val="20"/>
          <w:szCs w:val="20"/>
          <w:color w:val="auto"/>
        </w:rPr>
      </w:pPr>
    </w:p>
    <w:p>
      <w:pPr>
        <w:ind w:left="1760" w:hanging="456"/>
        <w:spacing w:after="0"/>
        <w:tabs>
          <w:tab w:leader="none" w:pos="17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such covenant or condition;</w:t>
      </w:r>
    </w:p>
    <w:p>
      <w:pPr>
        <w:spacing w:after="0" w:line="195" w:lineRule="exact"/>
        <w:rPr>
          <w:rFonts w:ascii="Times New Roman" w:cs="Times New Roman" w:eastAsia="Times New Roman" w:hAnsi="Times New Roman"/>
          <w:sz w:val="22"/>
          <w:szCs w:val="22"/>
          <w:color w:val="auto"/>
        </w:rPr>
      </w:pPr>
    </w:p>
    <w:p>
      <w:pPr>
        <w:ind w:firstLine="1304"/>
        <w:spacing w:after="0" w:line="271" w:lineRule="auto"/>
        <w:tabs>
          <w:tab w:leader="none" w:pos="1779"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67" w:lineRule="exact"/>
        <w:rPr>
          <w:rFonts w:ascii="Times New Roman" w:cs="Times New Roman" w:eastAsia="Times New Roman" w:hAnsi="Times New Roman"/>
          <w:sz w:val="22"/>
          <w:szCs w:val="22"/>
          <w:color w:val="auto"/>
        </w:rPr>
      </w:pPr>
    </w:p>
    <w:p>
      <w:pPr>
        <w:ind w:left="1920" w:hanging="616"/>
        <w:spacing w:after="0"/>
        <w:tabs>
          <w:tab w:leader="none" w:pos="192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or not, in the opinion of such Person, such condition or covenant has been</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complied with.</w:t>
      </w:r>
    </w:p>
    <w:p>
      <w:pPr>
        <w:spacing w:after="0" w:line="196" w:lineRule="exact"/>
        <w:rPr>
          <w:sz w:val="20"/>
          <w:szCs w:val="20"/>
          <w:color w:val="auto"/>
        </w:rPr>
      </w:pPr>
    </w:p>
    <w:p>
      <w:pPr>
        <w:jc w:val="both"/>
        <w:ind w:firstLine="1296"/>
        <w:spacing w:after="0" w:line="309" w:lineRule="auto"/>
        <w:rPr>
          <w:sz w:val="20"/>
          <w:szCs w:val="20"/>
          <w:color w:val="auto"/>
        </w:rPr>
      </w:pPr>
      <w:r>
        <w:rPr>
          <w:rFonts w:ascii="Times New Roman" w:cs="Times New Roman" w:eastAsia="Times New Roman" w:hAnsi="Times New Roman"/>
          <w:sz w:val="21"/>
          <w:szCs w:val="21"/>
          <w:color w:val="auto"/>
        </w:rPr>
        <w:t xml:space="preserve">SECTION 13.06. </w:t>
      </w:r>
      <w:r>
        <w:rPr>
          <w:rFonts w:ascii="Times New Roman" w:cs="Times New Roman" w:eastAsia="Times New Roman" w:hAnsi="Times New Roman"/>
          <w:sz w:val="21"/>
          <w:szCs w:val="21"/>
          <w:u w:val="single" w:color="auto"/>
          <w:color w:val="auto"/>
        </w:rPr>
        <w:t>Rules by Trustee and Agents.</w:t>
      </w:r>
      <w:r>
        <w:rPr>
          <w:rFonts w:ascii="Times New Roman" w:cs="Times New Roman" w:eastAsia="Times New Roman" w:hAnsi="Times New Roman"/>
          <w:sz w:val="21"/>
          <w:szCs w:val="21"/>
          <w:color w:val="auto"/>
        </w:rPr>
        <w:t xml:space="preserve"> The Trustee may make reasonable rules for action by or at a meeting of Holders. The Registrar or Paying Agent may make reasonable rules and set reasonable requirements for its functions.</w:t>
      </w:r>
    </w:p>
    <w:p>
      <w:pPr>
        <w:spacing w:after="0" w:line="121"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 xml:space="preserve">SECTION 13.07. </w:t>
      </w:r>
      <w:r>
        <w:rPr>
          <w:rFonts w:ascii="Times New Roman" w:cs="Times New Roman" w:eastAsia="Times New Roman" w:hAnsi="Times New Roman"/>
          <w:sz w:val="21"/>
          <w:szCs w:val="21"/>
          <w:u w:val="single" w:color="auto"/>
          <w:color w:val="auto"/>
        </w:rPr>
        <w:t>No Personal Liability of Directors, Officers, Employees and Shareholders.</w:t>
      </w:r>
      <w:r>
        <w:rPr>
          <w:rFonts w:ascii="Times New Roman" w:cs="Times New Roman" w:eastAsia="Times New Roman" w:hAnsi="Times New Roman"/>
          <w:sz w:val="21"/>
          <w:szCs w:val="21"/>
          <w:color w:val="auto"/>
        </w:rPr>
        <w:t xml:space="preserve"> No past, present or future director, officer, employee, incorporator or shareholder of the Company or any of its Subsidiaries or Affiliates, as such, shall have any liability for any obligations of the Company or the Guarantors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16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13.08.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INDENTURE AND THE NOTES, INCLUDING THE NOTE GUARANTEES, AND THE RIGHTS AND DUTIES OF THE</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71" w:lineRule="auto"/>
        <w:rPr>
          <w:sz w:val="20"/>
          <w:szCs w:val="20"/>
          <w:color w:val="auto"/>
        </w:rPr>
      </w:pPr>
      <w:r>
        <w:rPr>
          <w:rFonts w:ascii="Times New Roman" w:cs="Times New Roman" w:eastAsia="Times New Roman" w:hAnsi="Times New Roman"/>
          <w:sz w:val="22"/>
          <w:szCs w:val="22"/>
          <w:color w:val="auto"/>
        </w:rPr>
        <w:t>PARTIES HEREUNDER AND THEREUNDER SHALL BE GOVERNED BY AND CONSTRUED IN ACCORDANCE WITH THE LAWS OF THE STATE OF NEW YORK.</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13.09. </w:t>
      </w:r>
      <w:r>
        <w:rPr>
          <w:rFonts w:ascii="Times New Roman" w:cs="Times New Roman" w:eastAsia="Times New Roman" w:hAnsi="Times New Roman"/>
          <w:sz w:val="22"/>
          <w:szCs w:val="22"/>
          <w:u w:val="single" w:color="auto"/>
          <w:color w:val="auto"/>
        </w:rPr>
        <w:t>No Adverse Interpretation of Other Agreements.</w:t>
      </w:r>
      <w:r>
        <w:rPr>
          <w:rFonts w:ascii="Times New Roman" w:cs="Times New Roman" w:eastAsia="Times New Roman" w:hAnsi="Times New Roman"/>
          <w:sz w:val="22"/>
          <w:szCs w:val="22"/>
          <w:color w:val="auto"/>
        </w:rPr>
        <w:t xml:space="preserve"> This Indenture may not be used to interpret any other indenture, loan or debt agreement of the Company or its Subsidiaries or of any other Person. Any such indenture, loan or debt agreement may not be used to interpret this Indenture.</w:t>
      </w:r>
    </w:p>
    <w:p>
      <w:pPr>
        <w:spacing w:after="0" w:line="167"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13.10.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xml:space="preserve"> All agreements of the Company in this Indenture and the Notes will bind its successors. All agreements of the Trustee in this Indenture will bind its successors.</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In case any provision in this Indenture or in the Notes is invalid, illegal or unenforceable, the validity, legality and enforceability of the remaining provisions will not in any way be affected or impaired thereby.</w:t>
      </w:r>
    </w:p>
    <w:p>
      <w:pPr>
        <w:spacing w:after="0" w:line="167"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13.12. </w:t>
      </w:r>
      <w:r>
        <w:rPr>
          <w:rFonts w:ascii="Times New Roman" w:cs="Times New Roman" w:eastAsia="Times New Roman" w:hAnsi="Times New Roman"/>
          <w:sz w:val="22"/>
          <w:szCs w:val="22"/>
          <w:u w:val="single" w:color="auto"/>
          <w:color w:val="auto"/>
        </w:rPr>
        <w:t>Counterpart Originals.</w:t>
      </w:r>
      <w:r>
        <w:rPr>
          <w:rFonts w:ascii="Times New Roman" w:cs="Times New Roman" w:eastAsia="Times New Roman" w:hAnsi="Times New Roman"/>
          <w:sz w:val="22"/>
          <w:szCs w:val="22"/>
          <w:color w:val="auto"/>
        </w:rPr>
        <w:t xml:space="preserve"> The parties may sign any number of copies of this Indenture. Each signed copy will be an original, but all of them together represent the same agreement.</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13.13. </w:t>
      </w:r>
      <w:r>
        <w:rPr>
          <w:rFonts w:ascii="Times New Roman" w:cs="Times New Roman" w:eastAsia="Times New Roman" w:hAnsi="Times New Roman"/>
          <w:sz w:val="22"/>
          <w:szCs w:val="22"/>
          <w:u w:val="single" w:color="auto"/>
          <w:color w:val="auto"/>
        </w:rPr>
        <w:t>Table of Contents, Headings, etc.</w:t>
      </w:r>
      <w:r>
        <w:rPr>
          <w:rFonts w:ascii="Times New Roman" w:cs="Times New Roman" w:eastAsia="Times New Roman" w:hAnsi="Times New Roman"/>
          <w:sz w:val="22"/>
          <w:szCs w:val="22"/>
          <w:color w:val="auto"/>
        </w:rPr>
        <w:t xml:space="preserve"> 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167"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13.14. </w:t>
      </w:r>
      <w:r>
        <w:rPr>
          <w:rFonts w:ascii="Times New Roman" w:cs="Times New Roman" w:eastAsia="Times New Roman" w:hAnsi="Times New Roman"/>
          <w:sz w:val="22"/>
          <w:szCs w:val="22"/>
          <w:u w:val="single" w:color="auto"/>
          <w:color w:val="auto"/>
        </w:rPr>
        <w:t>Submission to Jurisdiction; Appointment of Agent.</w:t>
      </w:r>
      <w:r>
        <w:rPr>
          <w:rFonts w:ascii="Times New Roman" w:cs="Times New Roman" w:eastAsia="Times New Roman" w:hAnsi="Times New Roman"/>
          <w:sz w:val="22"/>
          <w:szCs w:val="22"/>
          <w:color w:val="auto"/>
        </w:rPr>
        <w:t xml:space="preserve"> The Company and each Guarantor irrevocably submit to the non-exclusive jurisdiction of any New York state or U.S. federal court located in the Borough of Manhattan in the City and State of New York over any suit, action or proceeding arising out of or relating to this Indenture. The Company and each Guarantor irrevocably waive, to the fullest extent permitted by law, any objection which they may have, pursuant to New York law or otherwise, to the laying of the venue of any such suit, action or proceeding brought in such a court and any claim that any such suit, action or proceeding brought in such a court has been brought in any inconvenient forum. In furtherance of the foregoing, each of the Company and each Guarantor hereby irrevocably designates and appoints Corporation Service Company (at its office at 1180 Avenue of the Americas, Suite 210, New York, New York 10036-8401) as its agent to receive service of all process brought against them with respect to any such suit, action or proceeding in any such court in the City and State of New York, such service being hereby acknowledged by it to be effective and binding service in every respect. Copies of any such process so served shall also be given to the Company in accordance with Section 13.02, but the failure of the Company to receive such copies shall not affect in any way the service of such process as aforesaid.</w:t>
      </w:r>
    </w:p>
    <w:p>
      <w:pPr>
        <w:spacing w:after="0" w:line="184"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13.15. </w:t>
      </w:r>
      <w:r>
        <w:rPr>
          <w:rFonts w:ascii="Times New Roman" w:cs="Times New Roman" w:eastAsia="Times New Roman" w:hAnsi="Times New Roman"/>
          <w:sz w:val="22"/>
          <w:szCs w:val="22"/>
          <w:u w:val="single" w:color="auto"/>
          <w:color w:val="auto"/>
        </w:rPr>
        <w:t>Prescription.</w:t>
      </w:r>
      <w:r>
        <w:rPr>
          <w:rFonts w:ascii="Times New Roman" w:cs="Times New Roman" w:eastAsia="Times New Roman" w:hAnsi="Times New Roman"/>
          <w:sz w:val="22"/>
          <w:szCs w:val="22"/>
          <w:color w:val="auto"/>
        </w:rPr>
        <w:t xml:space="preserve"> Claims against the Company or any Guarantor for the payment of principal, or premium, if any, on the Notes or any Note Guarantee will be prescribed ten years after the applicable due date for payment thereof. Claims against the</w:t>
      </w:r>
    </w:p>
    <w:p>
      <w:pPr>
        <w:sectPr>
          <w:pgSz w:w="11900" w:h="16838" w:orient="portrait"/>
          <w:cols w:equalWidth="0" w:num="1">
            <w:col w:w="11240"/>
          </w:cols>
          <w:pgMar w:left="320" w:top="1422" w:right="339" w:bottom="1440" w:gutter="0" w:footer="0" w:header="0"/>
        </w:sectPr>
      </w:pPr>
    </w:p>
    <w:bookmarkStart w:id="166" w:name="page167"/>
    <w:bookmarkEnd w:id="166"/>
    <w:p>
      <w:pPr>
        <w:jc w:val="both"/>
        <w:spacing w:after="0" w:line="271" w:lineRule="auto"/>
        <w:rPr>
          <w:sz w:val="20"/>
          <w:szCs w:val="20"/>
          <w:color w:val="auto"/>
        </w:rPr>
      </w:pPr>
      <w:r>
        <w:rPr>
          <w:rFonts w:ascii="Times New Roman" w:cs="Times New Roman" w:eastAsia="Times New Roman" w:hAnsi="Times New Roman"/>
          <w:sz w:val="22"/>
          <w:szCs w:val="22"/>
          <w:color w:val="auto"/>
        </w:rPr>
        <w:t>Company or any Guarantor for the payment of interest on the Notes will be prescribed five years after the applicable due date for payment of interest.</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Nothing in this Section shall limit the right of the Trustee or any Holder to bring proceedings against the Company in the courts of any other jurisdiction or to serve process in any other manner permitted by law.</w:t>
      </w:r>
    </w:p>
    <w:p>
      <w:pPr>
        <w:spacing w:after="0" w:line="144"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13.16. </w:t>
      </w:r>
      <w:r>
        <w:rPr>
          <w:rFonts w:ascii="Times New Roman" w:cs="Times New Roman" w:eastAsia="Times New Roman" w:hAnsi="Times New Roman"/>
          <w:sz w:val="22"/>
          <w:szCs w:val="22"/>
          <w:u w:val="single" w:color="auto"/>
          <w:color w:val="auto"/>
        </w:rPr>
        <w:t>Tax Matters.</w:t>
      </w:r>
      <w:r>
        <w:rPr>
          <w:rFonts w:ascii="Times New Roman" w:cs="Times New Roman" w:eastAsia="Times New Roman" w:hAnsi="Times New Roman"/>
          <w:sz w:val="22"/>
          <w:szCs w:val="22"/>
          <w:color w:val="auto"/>
        </w:rPr>
        <w:t xml:space="preserve"> Any payment by a Paying Agent under this Indenture shall be made without any deduction or withholding for or on account of any Taxes unless such deduction or withholding is required by any applicable law, regulation or regulatory agreement. Without prejudice to Section 2.13, if Taxes are paid by a Paying Agent or any of its affiliates, the Payor shall promptly reimburse the Paying Agent for such payment to the extent not covered by withholding from any payment. If a Paying Agent is required to make a deduction or withholding referred to above, it will not be required to pay an additional amount in respect of that deduction or withholding to the Payor.</w:t>
      </w:r>
    </w:p>
    <w:p>
      <w:pPr>
        <w:spacing w:after="0" w:line="181"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13.17. </w:t>
      </w:r>
      <w:r>
        <w:rPr>
          <w:rFonts w:ascii="Times New Roman" w:cs="Times New Roman" w:eastAsia="Times New Roman" w:hAnsi="Times New Roman"/>
          <w:sz w:val="22"/>
          <w:szCs w:val="22"/>
          <w:u w:val="single" w:color="auto"/>
          <w:color w:val="auto"/>
        </w:rPr>
        <w:t>USA PATRIOT Act.</w:t>
      </w:r>
      <w:r>
        <w:rPr>
          <w:rFonts w:ascii="Times New Roman" w:cs="Times New Roman" w:eastAsia="Times New Roman" w:hAnsi="Times New Roman"/>
          <w:sz w:val="22"/>
          <w:szCs w:val="22"/>
          <w:color w:val="auto"/>
        </w:rPr>
        <w:t xml:space="preserve"> The parties hereto acknowledge that in order to help the United States government fight the funding of terrorism and money laundering activities, pursuant to Federal regulations that became effective on October 1, 2003, Section 326 of the USA PATRIOT Act requires all financial institutions to obtain, verify, record and update information that identifies each person establishing a relationship or opening an account. The parties to this Indenture agree that they will provide GLAS Trust Company LLC such information as it may request, from time to time, in order for GLAS Trust Company LLC to satisfy the requirements of the USA PATRIOT Act, including but not limited to the name, address, tax identification number and other information that will allow it to identify the individual or entity who is establishing the relationship or opening the account and may also ask for formation documents such as articles of incorporation or other identifying documents to be provided.</w:t>
      </w:r>
    </w:p>
    <w:p>
      <w:pPr>
        <w:spacing w:after="0" w:line="19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Each Payor undertakes to the Paying Agent to (i) provide the Paying Agent all documentation and other information required by that Paying Agent from time to time to comply with any applicable law, regulation or regulatory agreement forthwith upon request by the Paying Agent and (ii) notify the Paying Agent in writing within 30 days of any change that affects the Payor’s tax status pursuant to any applicable law, regulation or regulatory agreement.</w:t>
      </w:r>
    </w:p>
    <w:p>
      <w:pPr>
        <w:spacing w:after="0" w:line="179"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1"/>
          <w:szCs w:val="21"/>
          <w:color w:val="auto"/>
        </w:rPr>
        <w:t>The Company acknowledges that it is its sole responsibility to determine whether a deduction or withholding is or will be required from any payment to be made in respect of the Notes or otherwise in connection with this Indenture and to procure that such deduction or withholding is made in a timely manner to the appropriate authorities. The Company shall notify each Paying Agent promptly upon determining or becoming aware of any requirement to make a deduction of withholding from any payment to be made in respect of the Notes or otherwise in connection with this Indenture. The Company shall provide such Paying Agent with all information required for such Paying Agent to be able to make any such payment.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following pages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b w:val="1"/>
          <w:bCs w:val="1"/>
          <w:color w:val="auto"/>
        </w:rPr>
        <w:t>EXECUTION</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3340" w:type="dxa"/>
            <w:vAlign w:val="bottom"/>
          </w:tcPr>
          <w:p>
            <w:pPr>
              <w:spacing w:after="0"/>
              <w:rPr>
                <w:sz w:val="20"/>
                <w:szCs w:val="20"/>
                <w:color w:val="auto"/>
              </w:rPr>
            </w:pPr>
            <w:r>
              <w:rPr>
                <w:rFonts w:ascii="Times New Roman" w:cs="Times New Roman" w:eastAsia="Times New Roman" w:hAnsi="Times New Roman"/>
                <w:sz w:val="20"/>
                <w:szCs w:val="20"/>
                <w:color w:val="auto"/>
              </w:rPr>
              <w:t>May 22</w:t>
            </w:r>
            <w:r>
              <w:rPr>
                <w:rFonts w:ascii="Times New Roman" w:cs="Times New Roman" w:eastAsia="Times New Roman" w:hAnsi="Times New Roman"/>
                <w:sz w:val="21"/>
                <w:szCs w:val="21"/>
                <w:color w:val="auto"/>
              </w:rPr>
              <w:t>, 2026</w:t>
            </w:r>
          </w:p>
        </w:tc>
        <w:tc>
          <w:tcPr>
            <w:tcW w:w="7500" w:type="dxa"/>
            <w:vAlign w:val="bottom"/>
            <w:gridSpan w:val="2"/>
          </w:tcPr>
          <w:p>
            <w:pPr>
              <w:ind w:left="2240"/>
              <w:spacing w:after="0"/>
              <w:rPr>
                <w:sz w:val="20"/>
                <w:szCs w:val="20"/>
                <w:color w:val="auto"/>
              </w:rPr>
            </w:pPr>
            <w:r>
              <w:rPr>
                <w:rFonts w:ascii="Times New Roman" w:cs="Times New Roman" w:eastAsia="Times New Roman" w:hAnsi="Times New Roman"/>
                <w:sz w:val="20"/>
                <w:szCs w:val="20"/>
                <w:b w:val="1"/>
                <w:bCs w:val="1"/>
                <w:color w:val="auto"/>
              </w:rPr>
              <w:t>ENCORE CAPITAL GROUP, INC.</w:t>
            </w:r>
          </w:p>
        </w:tc>
      </w:tr>
      <w:tr>
        <w:trPr>
          <w:trHeight w:val="258"/>
        </w:trPr>
        <w:tc>
          <w:tcPr>
            <w:tcW w:w="3340" w:type="dxa"/>
            <w:vAlign w:val="bottom"/>
          </w:tcPr>
          <w:p>
            <w:pPr>
              <w:spacing w:after="0"/>
              <w:rPr>
                <w:sz w:val="22"/>
                <w:szCs w:val="22"/>
                <w:color w:val="auto"/>
              </w:rPr>
            </w:pPr>
          </w:p>
        </w:tc>
        <w:tc>
          <w:tcPr>
            <w:tcW w:w="4060" w:type="dxa"/>
            <w:vAlign w:val="bottom"/>
          </w:tcPr>
          <w:p>
            <w:pPr>
              <w:ind w:left="2240"/>
              <w:spacing w:after="0"/>
              <w:rPr>
                <w:sz w:val="20"/>
                <w:szCs w:val="20"/>
                <w:color w:val="auto"/>
              </w:rPr>
            </w:pPr>
            <w:r>
              <w:rPr>
                <w:rFonts w:ascii="Times New Roman" w:cs="Times New Roman" w:eastAsia="Times New Roman" w:hAnsi="Times New Roman"/>
                <w:sz w:val="20"/>
                <w:szCs w:val="20"/>
                <w:color w:val="auto"/>
              </w:rPr>
              <w:t>as Company</w:t>
            </w:r>
          </w:p>
        </w:tc>
        <w:tc>
          <w:tcPr>
            <w:tcW w:w="3440" w:type="dxa"/>
            <w:vAlign w:val="bottom"/>
          </w:tcPr>
          <w:p>
            <w:pPr>
              <w:spacing w:after="0"/>
              <w:rPr>
                <w:sz w:val="22"/>
                <w:szCs w:val="22"/>
                <w:color w:val="auto"/>
              </w:rPr>
            </w:pPr>
          </w:p>
        </w:tc>
      </w:tr>
      <w:tr>
        <w:trPr>
          <w:trHeight w:val="533"/>
        </w:trPr>
        <w:tc>
          <w:tcPr>
            <w:tcW w:w="3340" w:type="dxa"/>
            <w:vAlign w:val="bottom"/>
          </w:tcPr>
          <w:p>
            <w:pPr>
              <w:spacing w:after="0"/>
              <w:rPr>
                <w:sz w:val="24"/>
                <w:szCs w:val="24"/>
                <w:color w:val="auto"/>
              </w:rPr>
            </w:pPr>
          </w:p>
        </w:tc>
        <w:tc>
          <w:tcPr>
            <w:tcW w:w="40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Tomas Hernanz</w:t>
            </w:r>
          </w:p>
        </w:tc>
      </w:tr>
      <w:tr>
        <w:trPr>
          <w:trHeight w:val="123"/>
        </w:trPr>
        <w:tc>
          <w:tcPr>
            <w:tcW w:w="33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3340" w:type="dxa"/>
            <w:vAlign w:val="bottom"/>
          </w:tcPr>
          <w:p>
            <w:pPr>
              <w:spacing w:after="0"/>
              <w:rPr>
                <w:sz w:val="24"/>
                <w:szCs w:val="24"/>
                <w:color w:val="auto"/>
              </w:rPr>
            </w:pPr>
          </w:p>
        </w:tc>
        <w:tc>
          <w:tcPr>
            <w:tcW w:w="40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Tomas Hernanz</w:t>
            </w:r>
          </w:p>
        </w:tc>
      </w:tr>
      <w:tr>
        <w:trPr>
          <w:trHeight w:val="123"/>
        </w:trPr>
        <w:tc>
          <w:tcPr>
            <w:tcW w:w="33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3340" w:type="dxa"/>
            <w:vAlign w:val="bottom"/>
          </w:tcPr>
          <w:p>
            <w:pPr>
              <w:spacing w:after="0"/>
              <w:rPr>
                <w:sz w:val="24"/>
                <w:szCs w:val="24"/>
                <w:color w:val="auto"/>
              </w:rPr>
            </w:pPr>
          </w:p>
        </w:tc>
        <w:tc>
          <w:tcPr>
            <w:tcW w:w="406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EVP and Chief Financial Officer</w:t>
            </w:r>
          </w:p>
        </w:tc>
      </w:tr>
      <w:tr>
        <w:trPr>
          <w:trHeight w:val="123"/>
        </w:trPr>
        <w:tc>
          <w:tcPr>
            <w:tcW w:w="334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MIDLAND FUNDING LLC</w:t>
      </w:r>
    </w:p>
    <w:p>
      <w:pPr>
        <w:spacing w:after="0" w:line="120" w:lineRule="exact"/>
        <w:rPr>
          <w:sz w:val="20"/>
          <w:szCs w:val="20"/>
          <w:color w:val="auto"/>
        </w:rPr>
      </w:pPr>
    </w:p>
    <w:tbl>
      <w:tblPr>
        <w:tblLayout w:type="fixed"/>
        <w:tblInd w:w="5620" w:type="dxa"/>
        <w:tblCellMar>
          <w:top w:w="0" w:type="dxa"/>
          <w:left w:w="0" w:type="dxa"/>
          <w:bottom w:w="0" w:type="dxa"/>
          <w:right w:w="0" w:type="dxa"/>
        </w:tblCellMar>
      </w:tblPr>
      <w:tr>
        <w:trPr>
          <w:trHeight w:val="258"/>
        </w:trPr>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 Guarantor</w:t>
            </w:r>
          </w:p>
        </w:tc>
        <w:tc>
          <w:tcPr>
            <w:tcW w:w="3440" w:type="dxa"/>
            <w:vAlign w:val="bottom"/>
          </w:tcPr>
          <w:p>
            <w:pPr>
              <w:spacing w:after="0"/>
              <w:rPr>
                <w:sz w:val="22"/>
                <w:szCs w:val="22"/>
                <w:color w:val="auto"/>
              </w:rPr>
            </w:pPr>
          </w:p>
        </w:tc>
      </w:tr>
      <w:tr>
        <w:trPr>
          <w:trHeight w:val="546"/>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10920"/>
          </w:cols>
          <w:pgMar w:left="320" w:top="1418" w:right="659" w:bottom="1440" w:gutter="0" w:footer="0" w:header="0"/>
        </w:sectPr>
      </w:pPr>
    </w:p>
    <w:bookmarkStart w:id="168" w:name="page169"/>
    <w:bookmarkEnd w:id="168"/>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MIDLAND PORTFOLIO SERVICES LLC</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14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MIDLAND CREDIT MANAGEMENT INC.</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14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ASSET ACCEPTANCE, LLC</w:t>
      </w:r>
    </w:p>
    <w:p>
      <w:pPr>
        <w:spacing w:after="0" w:line="1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78"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69" w:name="page170"/>
    <w:bookmarkEnd w:id="169"/>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ASSET ACCEPTANCE CAPITAL LLC</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Ryan Bell</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ENCORE CAPITAL GROUP UK LIMITED</w:t>
      </w:r>
    </w:p>
    <w:p>
      <w:pPr>
        <w:spacing w:after="0" w:line="1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Ashish Masih</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Ashish Masih</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ENCORE HOLDINGS LUXEMBOURG S.À R.L.</w:t>
      </w:r>
    </w:p>
    <w:p>
      <w:pPr>
        <w:spacing w:after="0" w:line="13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78"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Kyle Smith</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Kyle Smith</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Class A Manager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0" w:name="page171"/>
    <w:bookmarkEnd w:id="170"/>
    <w:p>
      <w:pPr>
        <w:spacing w:after="0" w:line="200" w:lineRule="exact"/>
        <w:rPr>
          <w:sz w:val="20"/>
          <w:szCs w:val="20"/>
          <w:color w:val="auto"/>
        </w:rPr>
      </w:pPr>
    </w:p>
    <w:p>
      <w:pPr>
        <w:spacing w:after="0" w:line="29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CABOT FINANCIAL LIMITED</w:t>
      </w:r>
    </w:p>
    <w:p>
      <w:pPr>
        <w:spacing w:after="0" w:line="17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2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123"/>
        </w:trPr>
        <w:tc>
          <w:tcPr>
            <w:tcW w:w="1860" w:type="dxa"/>
            <w:vAlign w:val="bottom"/>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123"/>
        </w:trPr>
        <w:tc>
          <w:tcPr>
            <w:tcW w:w="1860" w:type="dxa"/>
            <w:vAlign w:val="bottom"/>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UK HOLDCO LIMITED</w:t>
      </w:r>
    </w:p>
    <w:p>
      <w:pPr>
        <w:spacing w:after="0" w:line="1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Ashish Masih</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Ashish Masih</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1" w:name="page172"/>
    <w:bookmarkEnd w:id="171"/>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CREDIT MANAGEMENT LIMITED</w:t>
      </w:r>
    </w:p>
    <w:p>
      <w:pPr>
        <w:spacing w:after="0" w:line="1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1"/>
          <w:szCs w:val="21"/>
          <w:b w:val="1"/>
          <w:bCs w:val="1"/>
          <w:color w:val="auto"/>
        </w:rPr>
        <w:t>CABOT CREDIT MANAGEMENT GROUP LIMITED</w:t>
      </w:r>
    </w:p>
    <w:p>
      <w:pPr>
        <w:spacing w:after="0" w:line="1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376" w:lineRule="exact"/>
        <w:rPr>
          <w:sz w:val="20"/>
          <w:szCs w:val="20"/>
          <w:color w:val="auto"/>
        </w:rPr>
      </w:pPr>
    </w:p>
    <w:p>
      <w:pPr>
        <w:ind w:left="4540" w:right="14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CABOT FINANCIAL HOLDINGS GROUP LIMITED </w:t>
      </w:r>
      <w:r>
        <w:rPr>
          <w:rFonts w:ascii="Times New Roman" w:cs="Times New Roman" w:eastAsia="Times New Roman" w:hAnsi="Times New Roman"/>
          <w:sz w:val="22"/>
          <w:szCs w:val="22"/>
          <w:color w:val="auto"/>
        </w:rPr>
        <w:t>as Guarantor</w:t>
      </w:r>
    </w:p>
    <w:p>
      <w:pPr>
        <w:spacing w:after="0" w:line="74"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2" w:name="page173"/>
    <w:bookmarkEnd w:id="172"/>
    <w:p>
      <w:pPr>
        <w:spacing w:after="0" w:line="200" w:lineRule="exact"/>
        <w:rPr>
          <w:sz w:val="20"/>
          <w:szCs w:val="20"/>
          <w:color w:val="auto"/>
        </w:rPr>
      </w:pPr>
    </w:p>
    <w:p>
      <w:pPr>
        <w:spacing w:after="0" w:line="291" w:lineRule="exact"/>
        <w:rPr>
          <w:sz w:val="20"/>
          <w:szCs w:val="20"/>
          <w:color w:val="auto"/>
        </w:rPr>
      </w:pPr>
    </w:p>
    <w:p>
      <w:pPr>
        <w:ind w:left="4540" w:right="160"/>
        <w:spacing w:after="0" w:line="275" w:lineRule="auto"/>
        <w:rPr>
          <w:sz w:val="20"/>
          <w:szCs w:val="20"/>
          <w:color w:val="auto"/>
        </w:rPr>
      </w:pPr>
      <w:r>
        <w:rPr>
          <w:rFonts w:ascii="Times New Roman" w:cs="Times New Roman" w:eastAsia="Times New Roman" w:hAnsi="Times New Roman"/>
          <w:sz w:val="22"/>
          <w:szCs w:val="22"/>
          <w:b w:val="1"/>
          <w:bCs w:val="1"/>
          <w:color w:val="auto"/>
        </w:rPr>
        <w:t>CABOT FINANCIAL DEBT RECOVERY SERVICES LIMITED</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FINANCIAL (UK) LIMITED</w:t>
      </w:r>
    </w:p>
    <w:p>
      <w:pPr>
        <w:spacing w:after="0" w:line="1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Jonathan Graham</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Jonatham Graham</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3" w:name="page174"/>
    <w:bookmarkEnd w:id="173"/>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FINANCIAL (EUROPE) LIMITED</w:t>
      </w:r>
    </w:p>
    <w:p>
      <w:pPr>
        <w:spacing w:after="0" w:line="1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as Guarantor</w:t>
      </w:r>
    </w:p>
    <w:p>
      <w:pPr>
        <w:spacing w:after="0" w:line="29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John Yung</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APEX CREDIT MANAGEMENT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14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Jonathan Graham</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Jonathan Graham</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FINANCIAL (IRELAND) LIMITED</w:t>
      </w:r>
    </w:p>
    <w:p>
      <w:pPr>
        <w:spacing w:after="0" w:line="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140"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Tom Dillon</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Tom Dillon</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CABOT SECURITISATION EUROPE LIMITED</w:t>
      </w:r>
    </w:p>
    <w:p>
      <w:pPr>
        <w:spacing w:after="0" w:line="3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Guarantor</w:t>
      </w:r>
    </w:p>
    <w:p>
      <w:pPr>
        <w:spacing w:after="0" w:line="142"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Donal Martin</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Donal Martin</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5" w:name="page176"/>
    <w:bookmarkEnd w:id="175"/>
    <w:p>
      <w:pPr>
        <w:spacing w:after="0" w:line="200" w:lineRule="exact"/>
        <w:rPr>
          <w:sz w:val="20"/>
          <w:szCs w:val="20"/>
          <w:color w:val="auto"/>
        </w:rPr>
      </w:pPr>
    </w:p>
    <w:p>
      <w:pPr>
        <w:spacing w:after="0" w:line="34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10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GLAS TRUST COMPANY LLC</w:t>
      </w:r>
    </w:p>
    <w:p>
      <w:pPr>
        <w:spacing w:after="0" w:line="10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Trustee</w:t>
      </w:r>
    </w:p>
    <w:p>
      <w:pPr>
        <w:spacing w:after="0" w:line="274"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Irina Golovaschuk</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Irina Golovashchuk</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6" w:name="page177"/>
    <w:bookmarkEnd w:id="176"/>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GLAS TRUST COMPANY LLC</w:t>
      </w:r>
    </w:p>
    <w:p>
      <w:pPr>
        <w:spacing w:after="0" w:line="1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Principal Paying Agent, Transfer Agent and Registrar</w:t>
      </w:r>
    </w:p>
    <w:p>
      <w:pPr>
        <w:spacing w:after="0" w:line="274"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Irina Golovaschuk</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Irina Golovashchuk</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7" w:name="page178"/>
    <w:bookmarkEnd w:id="177"/>
    <w:p>
      <w:pPr>
        <w:spacing w:after="0" w:line="1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Signed, for and on behalf of</w:t>
      </w:r>
    </w:p>
    <w:p>
      <w:pPr>
        <w:spacing w:after="0" w:line="9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TRUIST BANK</w:t>
      </w:r>
    </w:p>
    <w:p>
      <w:pPr>
        <w:spacing w:after="0" w:line="1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as Security Agent</w:t>
      </w:r>
    </w:p>
    <w:p>
      <w:pPr>
        <w:spacing w:after="0" w:line="274" w:lineRule="exact"/>
        <w:rPr>
          <w:sz w:val="20"/>
          <w:szCs w:val="20"/>
          <w:color w:val="auto"/>
        </w:rPr>
      </w:pPr>
    </w:p>
    <w:tbl>
      <w:tblPr>
        <w:tblLayout w:type="fixed"/>
        <w:tblInd w:w="4500" w:type="dxa"/>
        <w:tblCellMar>
          <w:top w:w="0" w:type="dxa"/>
          <w:left w:w="0" w:type="dxa"/>
          <w:bottom w:w="0" w:type="dxa"/>
          <w:right w:w="0" w:type="dxa"/>
        </w:tblCellMar>
      </w:tblP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Madison Waterfield</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Madison Waterfield</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r>
        <w:trPr>
          <w:trHeight w:val="397"/>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Director</w:t>
            </w:r>
          </w:p>
        </w:tc>
      </w:tr>
      <w:tr>
        <w:trPr>
          <w:trHeight w:val="123"/>
        </w:trPr>
        <w:tc>
          <w:tcPr>
            <w:tcW w:w="1860" w:type="dxa"/>
            <w:vAlign w:val="bottom"/>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Indenture</w:t>
      </w:r>
      <w:r>
        <w:rPr>
          <w:rFonts w:ascii="Times New Roman" w:cs="Times New Roman" w:eastAsia="Times New Roman" w:hAnsi="Times New Roman"/>
          <w:sz w:val="14"/>
          <w:szCs w:val="14"/>
          <w:color w:val="auto"/>
        </w:rPr>
        <w:t>]</w:t>
      </w:r>
    </w:p>
    <w:p>
      <w:pPr>
        <w:sectPr>
          <w:pgSz w:w="11900" w:h="16838" w:orient="portrait"/>
          <w:cols w:equalWidth="0" w:num="1">
            <w:col w:w="9800"/>
          </w:cols>
          <w:pgMar w:left="1440" w:top="1440" w:right="659" w:bottom="1440" w:gutter="0" w:footer="0" w:header="0"/>
        </w:sectPr>
      </w:pPr>
    </w:p>
    <w:bookmarkStart w:id="178" w:name="page179"/>
    <w:bookmarkEnd w:id="178"/>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Face of Global Note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the Global Note Legend, if applicable pursuant to the provisions of the Indenture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Insert the Private Placement Legend, if applicable pursuant to the provisions of the Indenture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[REGULATION S/RULE 144A</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CUSIP: [</w:t>
      </w:r>
      <w:r>
        <w:rPr>
          <w:rFonts w:ascii="Wingdings" w:cs="Wingdings" w:eastAsia="Wingdings" w:hAnsi="Wingdings"/>
          <w:sz w:val="22"/>
          <w:szCs w:val="22"/>
          <w:b w:val="1"/>
          <w:bCs w:val="1"/>
          <w:color w:val="auto"/>
          <w:highlight w:val="black"/>
        </w:rPr>
        <w:t>l</w:t>
      </w:r>
      <w:r>
        <w:rPr>
          <w:rFonts w:ascii="Times New Roman" w:cs="Times New Roman" w:eastAsia="Times New Roman" w:hAnsi="Times New Roman"/>
          <w:sz w:val="22"/>
          <w:szCs w:val="22"/>
          <w:b w:val="1"/>
          <w:bCs w:val="1"/>
          <w:color w:val="auto"/>
        </w:rPr>
        <w:t>]</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ISIN: [</w:t>
      </w:r>
      <w:r>
        <w:rPr>
          <w:rFonts w:ascii="Wingdings" w:cs="Wingdings" w:eastAsia="Wingdings" w:hAnsi="Wingdings"/>
          <w:sz w:val="22"/>
          <w:szCs w:val="22"/>
          <w:b w:val="1"/>
          <w:bCs w:val="1"/>
          <w:color w:val="auto"/>
          <w:highlight w:val="black"/>
        </w:rPr>
        <w:t>l</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Encore Capital Group,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6.625% Senior Secured Notes due 2032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Encore Capital Group,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promises to pay to ______________ or its registered assigns, the principal sum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 [or such greater or lesser amount as indicated in the Schedule of Exchanges of Interests in the Global Note]</w:t>
      </w:r>
      <w:r>
        <w:rPr>
          <w:rFonts w:ascii="Arial" w:cs="Arial" w:eastAsia="Arial" w:hAnsi="Arial"/>
          <w:sz w:val="28"/>
          <w:szCs w:val="28"/>
          <w:color w:val="auto"/>
          <w:vertAlign w:val="superscript"/>
        </w:rPr>
        <w:t>1</w:t>
      </w:r>
      <w:r>
        <w:rPr>
          <w:rFonts w:ascii="Times New Roman" w:cs="Times New Roman" w:eastAsia="Times New Roman" w:hAnsi="Times New Roman"/>
          <w:sz w:val="22"/>
          <w:szCs w:val="22"/>
          <w:color w:val="auto"/>
        </w:rPr>
        <w:t xml:space="preserve"> on [●].</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Payment Dates: [●] and [●], commencing [●].</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For so long as this Note is a Global Note payment will be made to the Holders of record of this Note at the close of business (in the relevant clearing system) on the Clearing System Business Day immediately before the due date for such payment, such date being the “Regular Record Date” for a Global Note.</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 the extent a Definitive Registered Note has been issued, payment will be made to the Holders of record of this Note on the immediately preceding [●] and [●], such dates being the “Regular Record Dates” for a Definitive Registered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w:t>
      </w:r>
    </w:p>
    <w:p>
      <w:pPr>
        <w:spacing w:after="0" w:line="179"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Reference is made to the further provisions of this Note contained herein,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2263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81" w:lineRule="exact"/>
        <w:rPr>
          <w:sz w:val="20"/>
          <w:szCs w:val="20"/>
          <w:color w:val="auto"/>
        </w:rPr>
      </w:pPr>
    </w:p>
    <w:p>
      <w:pPr>
        <w:ind w:left="100" w:hanging="92"/>
        <w:spacing w:after="0"/>
        <w:tabs>
          <w:tab w:leader="none" w:pos="100" w:val="left"/>
        </w:tabs>
        <w:numPr>
          <w:ilvl w:val="0"/>
          <w:numId w:val="216"/>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Use the Schedule of Exchanges of Interests language if Note is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11240"/>
          </w:cols>
          <w:pgMar w:left="320" w:top="1440" w:right="339" w:bottom="1440" w:gutter="0" w:footer="0" w:header="0"/>
        </w:sectPr>
      </w:pPr>
    </w:p>
    <w:bookmarkStart w:id="179" w:name="page180"/>
    <w:bookmarkEnd w:id="179"/>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Company has caused this Note to be signed by its duly authorized director, officer or other authorized signatory.</w:t>
      </w:r>
    </w:p>
    <w:p>
      <w:pPr>
        <w:spacing w:after="0" w:line="30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b w:val="1"/>
          <w:bCs w:val="1"/>
          <w:color w:val="auto"/>
        </w:rPr>
        <w:t>ENCORE CAPITAL GROUP, INC.</w:t>
      </w:r>
    </w:p>
    <w:p>
      <w:pPr>
        <w:spacing w:after="0" w:line="1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as Company</w:t>
      </w:r>
    </w:p>
    <w:p>
      <w:pPr>
        <w:spacing w:after="0" w:line="2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96520</wp:posOffset>
            </wp:positionV>
            <wp:extent cx="2194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96520</wp:posOffset>
            </wp:positionV>
            <wp:extent cx="2194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25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96520</wp:posOffset>
            </wp:positionV>
            <wp:extent cx="21945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Certificate of Authentication</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This is one of the 6.625% Senior Secured Notes due 2032 referred to in the within-mentioned Indenture.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_________________</w:t>
      </w:r>
    </w:p>
    <w:p>
      <w:pPr>
        <w:spacing w:after="0" w:line="395" w:lineRule="exact"/>
        <w:rPr>
          <w:sz w:val="20"/>
          <w:szCs w:val="20"/>
          <w:color w:val="auto"/>
        </w:rPr>
      </w:pPr>
    </w:p>
    <w:p>
      <w:pPr>
        <w:jc w:val="both"/>
        <w:ind w:left="5320" w:right="80"/>
        <w:spacing w:after="0" w:line="257" w:lineRule="auto"/>
        <w:rPr>
          <w:sz w:val="20"/>
          <w:szCs w:val="20"/>
          <w:color w:val="auto"/>
        </w:rPr>
      </w:pPr>
      <w:r>
        <w:rPr>
          <w:rFonts w:ascii="Times New Roman" w:cs="Times New Roman" w:eastAsia="Times New Roman" w:hAnsi="Times New Roman"/>
          <w:sz w:val="22"/>
          <w:szCs w:val="22"/>
          <w:color w:val="auto"/>
        </w:rPr>
        <w:t>SIGNED for and on behalf of GLAS TRUST COMPANY LLC, not in its personal capacity, but in its capacity as Authentication Agent</w:t>
      </w:r>
    </w:p>
    <w:p>
      <w:pPr>
        <w:spacing w:after="0" w:line="2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By:</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-151130</wp:posOffset>
            </wp:positionV>
            <wp:extent cx="27089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12065</wp:posOffset>
            </wp:positionV>
            <wp:extent cx="27089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0891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-158750</wp:posOffset>
            </wp:positionV>
            <wp:extent cx="2708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ectPr>
          <w:pgSz w:w="11900" w:h="16838" w:orient="portrait"/>
          <w:cols w:equalWidth="0" w:num="1">
            <w:col w:w="11240"/>
          </w:cols>
          <w:pgMar w:left="320" w:top="1422"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Form of Reverse of Note</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6.625% Senior Secured Notes due 2032</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Capitalized terms used herein have the meanings assigned to them in the Indenture referred to below unless otherwise indicated.</w:t>
      </w:r>
    </w:p>
    <w:p>
      <w:pPr>
        <w:spacing w:after="0" w:line="158" w:lineRule="exact"/>
        <w:rPr>
          <w:sz w:val="20"/>
          <w:szCs w:val="20"/>
          <w:color w:val="auto"/>
        </w:rPr>
      </w:pPr>
    </w:p>
    <w:p>
      <w:pPr>
        <w:ind w:firstLine="1304"/>
        <w:spacing w:after="0" w:line="271" w:lineRule="auto"/>
        <w:tabs>
          <w:tab w:leader="none" w:pos="181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Encore Capital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promises to pay interest on the principal amount of this note at [●] per annum from the date of issuance until maturity.</w:t>
      </w:r>
    </w:p>
    <w:p>
      <w:pPr>
        <w:spacing w:after="0" w:line="15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The Notes will pay interest, in cash, [●] in arrears on [●] and [●] of each year, or if any such date is not a Business Day, on the next succeeding Business Day (each an “</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Interest on the Notes will accrue from the date of original issuance or, if interest has already been paid, from the Interest Payment Date for which interest was most recently paid;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first Interest Payment Date shall be [●]. The Company shall pay interest (including post-petition interest in any proceeding under any Bankruptcy Law) on overdue principal and premium, if any, and on overdue installments of interest, if any (without regard to any applicable grace periods), from time to time on demand at the same rate to the extent lawful. Interest on the Notes will be computed on the basis of [●].</w:t>
      </w:r>
    </w:p>
    <w:p>
      <w:pPr>
        <w:spacing w:after="0" w:line="179" w:lineRule="exact"/>
        <w:rPr>
          <w:sz w:val="20"/>
          <w:szCs w:val="20"/>
          <w:color w:val="auto"/>
        </w:rPr>
      </w:pPr>
    </w:p>
    <w:p>
      <w:pPr>
        <w:jc w:val="both"/>
        <w:ind w:firstLine="1304"/>
        <w:spacing w:after="0" w:line="247" w:lineRule="auto"/>
        <w:tabs>
          <w:tab w:leader="none" w:pos="177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Method of Payment</w:t>
      </w:r>
      <w:r>
        <w:rPr>
          <w:rFonts w:ascii="Times New Roman" w:cs="Times New Roman" w:eastAsia="Times New Roman" w:hAnsi="Times New Roman"/>
          <w:sz w:val="22"/>
          <w:szCs w:val="22"/>
          <w:color w:val="auto"/>
        </w:rPr>
        <w:t xml:space="preserve">. The Company shall pay interest on the Notes to the Persons who are registered Holders at the close of business on the [●] and [●] immediately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as provided in the Indenture or, at the option of the Company, payment of interest may be made by check mailed or by bank transfer to the Holders at their addresses set forth in the register of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payment by wire transfer of immediately available funds will be required with respect to principal of and interest and premium, if any, on all Global Notes and all other Notes the Holders of which will have provided wire transfer instructions to the Company or the Paying Agent. Such payment will be in such coin or currency of the United States of America as at the time of payment is legal tender for payment of public and private debts. If the due date for any payment in respect of any Note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45"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Paying Agent and Registrar</w:t>
      </w:r>
      <w:r>
        <w:rPr>
          <w:rFonts w:ascii="Times New Roman" w:cs="Times New Roman" w:eastAsia="Times New Roman" w:hAnsi="Times New Roman"/>
          <w:sz w:val="22"/>
          <w:szCs w:val="22"/>
          <w:color w:val="auto"/>
        </w:rPr>
        <w:t>. Initially, GLAS Trust Company LLC will act as Principal Paying Agent and Registrar. The Company may change any Paying Agent or Registrar without notice to any Holder. The Company or any of its Subsidiaries may act as Paying Agent or Registrar.</w:t>
      </w:r>
    </w:p>
    <w:p>
      <w:pPr>
        <w:spacing w:after="0" w:line="167" w:lineRule="exact"/>
        <w:rPr>
          <w:rFonts w:ascii="Times New Roman" w:cs="Times New Roman" w:eastAsia="Times New Roman" w:hAnsi="Times New Roman"/>
          <w:sz w:val="22"/>
          <w:szCs w:val="22"/>
          <w:color w:val="auto"/>
        </w:rPr>
      </w:pPr>
    </w:p>
    <w:p>
      <w:pPr>
        <w:ind w:right="20" w:firstLine="1304"/>
        <w:spacing w:after="0" w:line="271" w:lineRule="auto"/>
        <w:tabs>
          <w:tab w:leader="none" w:pos="1804"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The Company issued the Notes under an Indenture, dated as of May 22, 2026 (the “</w:t>
      </w:r>
      <w:r>
        <w:rPr>
          <w:rFonts w:ascii="Times New Roman" w:cs="Times New Roman" w:eastAsia="Times New Roman" w:hAnsi="Times New Roman"/>
          <w:sz w:val="22"/>
          <w:szCs w:val="22"/>
          <w:u w:val="single" w:color="auto"/>
          <w:color w:val="auto"/>
        </w:rPr>
        <w:t>Indenture</w:t>
      </w:r>
      <w:r>
        <w:rPr>
          <w:rFonts w:ascii="Times New Roman" w:cs="Times New Roman" w:eastAsia="Times New Roman" w:hAnsi="Times New Roman"/>
          <w:sz w:val="22"/>
          <w:szCs w:val="22"/>
          <w:color w:val="auto"/>
        </w:rPr>
        <w:t>”), among the Company, the Guarantors parties thereto,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ectPr>
          <w:pgSz w:w="11900" w:h="16838" w:orient="portrait"/>
          <w:cols w:equalWidth="0" w:num="1">
            <w:col w:w="11240"/>
          </w:cols>
          <w:pgMar w:left="320" w:top="1418" w:right="339" w:bottom="1440" w:gutter="0" w:footer="0" w:header="0"/>
        </w:sectPr>
      </w:pPr>
    </w:p>
    <w:bookmarkStart w:id="181" w:name="page182"/>
    <w:bookmarkEnd w:id="181"/>
    <w:p>
      <w:pPr>
        <w:jc w:val="both"/>
        <w:spacing w:after="0" w:line="256" w:lineRule="auto"/>
        <w:rPr>
          <w:sz w:val="20"/>
          <w:szCs w:val="20"/>
          <w:color w:val="auto"/>
        </w:rPr>
      </w:pPr>
      <w:r>
        <w:rPr>
          <w:rFonts w:ascii="Times New Roman" w:cs="Times New Roman" w:eastAsia="Times New Roman" w:hAnsi="Times New Roman"/>
          <w:sz w:val="22"/>
          <w:szCs w:val="22"/>
          <w:color w:val="auto"/>
        </w:rPr>
        <w:t>Security Agent and the Trustee. The terms of the Notes include those stated in the Indenture. The Notes include all such terms, and Holders are referred to the Indenture for a statement of such terms. To the extent any provision of this Note conflicts with the express provisions of the Indenture, the provisions of the Indenture shall govern and be controlling. The Notes are senior secured obligations of the Company.</w:t>
      </w:r>
    </w:p>
    <w:p>
      <w:pPr>
        <w:spacing w:after="0" w:line="176" w:lineRule="exact"/>
        <w:rPr>
          <w:sz w:val="20"/>
          <w:szCs w:val="20"/>
          <w:color w:val="auto"/>
        </w:rPr>
      </w:pPr>
    </w:p>
    <w:p>
      <w:pPr>
        <w:jc w:val="both"/>
        <w:ind w:firstLine="1304"/>
        <w:spacing w:after="0" w:line="251" w:lineRule="auto"/>
        <w:tabs>
          <w:tab w:leader="none" w:pos="1845"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Redemption</w:t>
      </w:r>
      <w:r>
        <w:rPr>
          <w:rFonts w:ascii="Times New Roman" w:cs="Times New Roman" w:eastAsia="Times New Roman" w:hAnsi="Times New Roman"/>
          <w:sz w:val="22"/>
          <w:szCs w:val="22"/>
          <w:color w:val="auto"/>
        </w:rPr>
        <w:t>. At any time and from time to time on or after [●], the Company may redeem the Notes, in whole or in part, at its option, upon not less than 10 nor more than 60 days’ prior notice to the Holders, at a redemption price equal to the applicable percentage of principal amount set forth below plus accrued and unpaid interest and Additional Amounts, if any, to the applicable redemption date (subject to the right of Holders of record on the relevant record date to receive interest due on the relevant interest payment date), if redeemed during the twelve-month period beginning on [●] of the years indicated below:</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286"/>
        </w:trPr>
        <w:tc>
          <w:tcPr>
            <w:tcW w:w="37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Year</w:t>
            </w:r>
          </w:p>
        </w:tc>
        <w:tc>
          <w:tcPr>
            <w:tcW w:w="4080" w:type="dxa"/>
            <w:vAlign w:val="bottom"/>
          </w:tcPr>
          <w:p>
            <w:pPr>
              <w:ind w:left="2200"/>
              <w:spacing w:after="0"/>
              <w:rPr>
                <w:sz w:val="20"/>
                <w:szCs w:val="20"/>
                <w:color w:val="auto"/>
              </w:rPr>
            </w:pPr>
            <w:r>
              <w:rPr>
                <w:rFonts w:ascii="Times New Roman" w:cs="Times New Roman" w:eastAsia="Times New Roman" w:hAnsi="Times New Roman"/>
                <w:sz w:val="22"/>
                <w:szCs w:val="22"/>
                <w:b w:val="1"/>
                <w:bCs w:val="1"/>
                <w:color w:val="auto"/>
              </w:rPr>
              <w:t>Redemption Price</w:t>
            </w:r>
          </w:p>
        </w:tc>
      </w:tr>
      <w:tr>
        <w:trPr>
          <w:trHeight w:val="218"/>
        </w:trPr>
        <w:tc>
          <w:tcPr>
            <w:tcW w:w="37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r>
      <w:tr>
        <w:trPr>
          <w:trHeight w:val="329"/>
        </w:trPr>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0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w:t>
            </w:r>
          </w:p>
        </w:tc>
      </w:tr>
      <w:tr>
        <w:trPr>
          <w:trHeight w:val="392"/>
        </w:trPr>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40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w:t>
            </w:r>
          </w:p>
        </w:tc>
      </w:tr>
      <w:tr>
        <w:trPr>
          <w:trHeight w:val="392"/>
        </w:trPr>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and thereafter</w:t>
            </w:r>
          </w:p>
        </w:tc>
        <w:tc>
          <w:tcPr>
            <w:tcW w:w="40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w:t>
            </w:r>
          </w:p>
        </w:tc>
      </w:tr>
    </w:tbl>
    <w:p>
      <w:pPr>
        <w:spacing w:after="0" w:line="352" w:lineRule="exact"/>
        <w:rPr>
          <w:sz w:val="20"/>
          <w:szCs w:val="20"/>
          <w:color w:val="auto"/>
        </w:rPr>
      </w:pPr>
    </w:p>
    <w:p>
      <w:pPr>
        <w:jc w:val="both"/>
        <w:ind w:firstLine="1296"/>
        <w:spacing w:after="0" w:line="248" w:lineRule="auto"/>
        <w:rPr>
          <w:sz w:val="20"/>
          <w:szCs w:val="20"/>
          <w:color w:val="auto"/>
        </w:rPr>
      </w:pPr>
      <w:r>
        <w:rPr>
          <w:rFonts w:ascii="Times New Roman" w:cs="Times New Roman" w:eastAsia="Times New Roman" w:hAnsi="Times New Roman"/>
          <w:sz w:val="22"/>
          <w:szCs w:val="22"/>
          <w:color w:val="auto"/>
        </w:rPr>
        <w:t xml:space="preserve">At any time and from time to time prior to [ ● ] the Company may redeem Notes with the Net Cash Proceeds received by the Company from any Equity Offering occurring after the Issue Date, upon not less than 10 nor more than 60 days’ prior notice to the Holders at a redemption price equal to [●]% plus accrued and unpaid interest and Additional Amounts, if any, to the applicable redemption date (subject to the right of Holders of record on the relevant record date to receive interest due on the relevant interest payment date), in an aggregate principal amount for all such redemptions not to exceed [●]% of the original aggregate principal amount of the Notes (including the principal amount of any Additional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20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in each case the redemption takes place not later than [ ● ] days after the closing of the related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Offering, and</w:t>
      </w:r>
    </w:p>
    <w:p>
      <w:pPr>
        <w:spacing w:after="0" w:line="196" w:lineRule="exact"/>
        <w:rPr>
          <w:sz w:val="20"/>
          <w:szCs w:val="20"/>
          <w:color w:val="auto"/>
        </w:rPr>
      </w:pPr>
    </w:p>
    <w:p>
      <w:pPr>
        <w:ind w:firstLine="1304"/>
        <w:spacing w:after="0" w:line="271" w:lineRule="auto"/>
        <w:tabs>
          <w:tab w:leader="none" w:pos="1773"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less than [●]% of the original aggregate principal amount of the Notes (including the principal amount of any Additional Notes) remains outstanding immediately thereafter.</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At any time and from time to time prior to [●], the Company may redeem the Notes in whole or in part, at its option, upon not less than 10 nor more than 60 days’ prior notice to the Holders at a redemption price equal to 100% of the principal amount of such Notes plus the relevant Applicable Premium as of, and accrued and unpaid interest and Additional Amounts, if any, to, the applicable redemption date (subject to the right of Holders of record on the relevant record date to receive interest due on the relevant interest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ectPr>
          <w:pgSz w:w="11900" w:h="16838" w:orient="portrait"/>
          <w:cols w:equalWidth="0" w:num="1">
            <w:col w:w="11240"/>
          </w:cols>
          <w:pgMar w:left="320" w:top="1422" w:right="339" w:bottom="1440" w:gutter="0" w:footer="0" w:header="0"/>
        </w:sectPr>
      </w:pPr>
    </w:p>
    <w:bookmarkStart w:id="182" w:name="page183"/>
    <w:bookmarkEnd w:id="182"/>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In connection with any tender offer for the Notes (including any Change of Control Offer or Asset Disposition Offer), if Holders of not less than 90% in aggregate principal amount of outstanding Notes validly tender and do not withdraw such Notes in such tender offer and the Company, or any third party making such a tender offer in lieu of the Company, purchases all of the Notes validly tendered and not withdrawn by such Holders, the Company or such third party will have the right upon not less than 10 nor more than 60 days’ prior notice to the Holders of such Notes, such notice given not more than 30 days following such purchase date, to redeem all (but not part) of the applicable Notes that remain outstanding following such purchase at a price equal to the price offered to each of the Holders of the Notes in such tender offer (excluding any early tender or incentive fee), plus, to the extent not included in the tender offer payment, accrued and unpaid interest and Additional Amounts, if any, thereon, to, but not including, the redemption date (subject to the right of Holders of record on the relevant record date to receive interest due on the relevant interest payment date).</w:t>
      </w:r>
    </w:p>
    <w:p>
      <w:pPr>
        <w:spacing w:after="0" w:line="183" w:lineRule="exact"/>
        <w:rPr>
          <w:sz w:val="20"/>
          <w:szCs w:val="20"/>
          <w:color w:val="auto"/>
        </w:rPr>
      </w:pPr>
    </w:p>
    <w:p>
      <w:pPr>
        <w:jc w:val="both"/>
        <w:ind w:firstLine="1304"/>
        <w:spacing w:after="0" w:line="250" w:lineRule="auto"/>
        <w:tabs>
          <w:tab w:leader="none" w:pos="1791"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for Taxation Reasons</w:t>
      </w:r>
      <w:r>
        <w:rPr>
          <w:rFonts w:ascii="Times New Roman" w:cs="Times New Roman" w:eastAsia="Times New Roman" w:hAnsi="Times New Roman"/>
          <w:sz w:val="22"/>
          <w:szCs w:val="22"/>
          <w:color w:val="auto"/>
        </w:rPr>
        <w:t>. The Company or a Successor Company may redeem the Notes in whole, but not in part, at any time upon giving not less than 10 nor more than 60 days’ notice to the Holders (which notice will be irrevocable) at a redemption price equal to 100% of the outstanding principal amount thereof, together with accrued and unpaid interest, if any, to, but excluding, the date fixed for redemption (a “</w:t>
      </w:r>
      <w:r>
        <w:rPr>
          <w:rFonts w:ascii="Times New Roman" w:cs="Times New Roman" w:eastAsia="Times New Roman" w:hAnsi="Times New Roman"/>
          <w:sz w:val="22"/>
          <w:szCs w:val="22"/>
          <w:u w:val="single" w:color="auto"/>
          <w:color w:val="auto"/>
        </w:rPr>
        <w:t>Tax Redemption Date</w:t>
      </w:r>
      <w:r>
        <w:rPr>
          <w:rFonts w:ascii="Times New Roman" w:cs="Times New Roman" w:eastAsia="Times New Roman" w:hAnsi="Times New Roman"/>
          <w:sz w:val="22"/>
          <w:szCs w:val="22"/>
          <w:color w:val="auto"/>
        </w:rPr>
        <w:t>”) (subject to the right of Holders of record on the relevant record date to receive interest due on the relevant interest payment date) and all Additional Amounts, if any, then due and which will become due on the Tax Redemption Date as a result of the redemption or otherwise, if any, if as a result of:</w:t>
      </w:r>
    </w:p>
    <w:p>
      <w:pPr>
        <w:spacing w:after="0" w:line="180" w:lineRule="exact"/>
        <w:rPr>
          <w:sz w:val="20"/>
          <w:szCs w:val="20"/>
          <w:color w:val="auto"/>
        </w:rPr>
      </w:pPr>
    </w:p>
    <w:p>
      <w:pPr>
        <w:ind w:firstLine="1304"/>
        <w:spacing w:after="0" w:line="271" w:lineRule="auto"/>
        <w:tabs>
          <w:tab w:leader="none" w:pos="1914"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law (or any regulations or rulings promulgated thereunder) of a Relevant Taxing Jurisdiction affecting taxation; or</w:t>
      </w:r>
    </w:p>
    <w:p>
      <w:pPr>
        <w:spacing w:after="0" w:line="171"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7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or amendment to, the application, administration or interpretation of such laws, regulations or rulings (including pursuant to a holding, judgment or order by a court of competent jurisdiction) of a Relevant Taxing Jurisdiction (each of the foregoing in clauses (1) and (2), a “</w:t>
      </w:r>
      <w:r>
        <w:rPr>
          <w:rFonts w:ascii="Times New Roman" w:cs="Times New Roman" w:eastAsia="Times New Roman" w:hAnsi="Times New Roman"/>
          <w:sz w:val="22"/>
          <w:szCs w:val="22"/>
          <w:u w:val="single" w:color="auto"/>
          <w:color w:val="auto"/>
        </w:rPr>
        <w:t>Change in Tax Law</w:t>
      </w:r>
      <w:r>
        <w:rPr>
          <w:rFonts w:ascii="Times New Roman" w:cs="Times New Roman" w:eastAsia="Times New Roman" w:hAnsi="Times New Roman"/>
          <w:sz w:val="22"/>
          <w:szCs w:val="22"/>
          <w:color w:val="auto"/>
        </w:rPr>
        <w:t>”), the Company, Successor Company or any Guarantor are, or on the next interest payment date in respect of the Notes would be, required to pay any Additional Amounts, and such obligation cannot be avoided by taking reasonable measures available to the Company, Successor Company or such Guarantor (including, for the avoidance of doubt, the appointment of a new Paying Agent where this would be reasonable and, in the case of a payment by a Guarantor, having the Company or another Guarantor make the payment, but not including assignment of the obligation to make payment with respect to the Notes). In the case of redemption due to withholding as a result of a Change in Tax Law in a jurisdiction that is a Relevant Taxing Jurisdiction at the date of the Offering Memorandum, such Change in Tax Law must become effective on or after the date of the Offering Memorandum. In the case of redemption due to withholding as a result of a Change in Tax Law in a jurisdiction that becomes a Relevant Taxing Jurisdiction after the date of the Offering Memorandum, such Change in Tax Law must become effective on or after the date the jurisdiction becomes a Relevant Taxing Jurisdiction. Notice of redemption for taxation reasons shall be published in accordance with Section 3.03 of the Indenture.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ectPr>
          <w:pgSz w:w="11900" w:h="16838" w:orient="portrait"/>
          <w:cols w:equalWidth="0" w:num="1">
            <w:col w:w="11240"/>
          </w:cols>
          <w:pgMar w:left="320" w:top="1422" w:right="339" w:bottom="1440" w:gutter="0" w:footer="0" w:header="0"/>
        </w:sectPr>
      </w:pPr>
    </w:p>
    <w:bookmarkStart w:id="183" w:name="page184"/>
    <w:bookmarkEnd w:id="183"/>
    <w:p>
      <w:pPr>
        <w:jc w:val="both"/>
        <w:spacing w:after="0" w:line="262" w:lineRule="auto"/>
        <w:rPr>
          <w:sz w:val="20"/>
          <w:szCs w:val="20"/>
          <w:color w:val="auto"/>
        </w:rPr>
      </w:pPr>
      <w:r>
        <w:rPr>
          <w:rFonts w:ascii="Times New Roman" w:cs="Times New Roman" w:eastAsia="Times New Roman" w:hAnsi="Times New Roman"/>
          <w:sz w:val="21"/>
          <w:szCs w:val="21"/>
          <w:color w:val="auto"/>
        </w:rPr>
        <w:t>foregoing, no such notice of redemption shall be given (a) earlier than 90 days prior to the earliest date on which the Payor would be obliged to make such payment of Additional Amounts and (b) unless at the time such notice is given, such obligation to pay such Additional Amounts remains in effect. Prior to the publication or mailing of any notice of redemption of the Notes pursuant to the foregoing, the Company or Successor Company shall deliver to the Trustee (a) an Officer’s Certificate stating that it is entitled to effect such redemption and setting forth a statement of facts showing that the conditions precedent to its right so to redeem have been satisfied and that it would not be able to avoid the obligation to pay Additional Amounts by taking reasonable measures available to it and (b) an opinion of an independent tax counsel of recognized standing to the effect that the Company, Successor Company or Guarantor has or have been or shall become obligated to pay Additional Amounts as a result of a Change in Tax Law. The Trustee shall accept such Officer’s Certificate and opinion as sufficient evidence of the satisfaction of the conditions precedent described above, without further inquiry, in which event it will be conclusive and binding on the Holders.</w:t>
      </w:r>
    </w:p>
    <w:p>
      <w:pPr>
        <w:spacing w:after="0" w:line="172" w:lineRule="exact"/>
        <w:rPr>
          <w:sz w:val="20"/>
          <w:szCs w:val="20"/>
          <w:color w:val="auto"/>
        </w:rPr>
      </w:pPr>
    </w:p>
    <w:p>
      <w:pPr>
        <w:ind w:firstLine="1304"/>
        <w:spacing w:after="0" w:line="271" w:lineRule="auto"/>
        <w:tabs>
          <w:tab w:leader="none" w:pos="180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Redemption</w:t>
      </w:r>
      <w:r>
        <w:rPr>
          <w:rFonts w:ascii="Times New Roman" w:cs="Times New Roman" w:eastAsia="Times New Roman" w:hAnsi="Times New Roman"/>
          <w:sz w:val="22"/>
          <w:szCs w:val="22"/>
          <w:color w:val="auto"/>
        </w:rPr>
        <w:t>. The Company is not required to make mandatory redemption payments or sinking fund payments with respect to the Notes.</w:t>
      </w:r>
    </w:p>
    <w:p>
      <w:pPr>
        <w:spacing w:after="0" w:line="15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04"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Repurchase at Option of Holder</w:t>
      </w:r>
      <w:r>
        <w:rPr>
          <w:rFonts w:ascii="Times New Roman" w:cs="Times New Roman" w:eastAsia="Times New Roman" w:hAnsi="Times New Roman"/>
          <w:sz w:val="22"/>
          <w:szCs w:val="22"/>
          <w:color w:val="auto"/>
        </w:rPr>
        <w:t>. (a) Upon the occurrence of a Change of Control, unless the Company has unconditionally exercised its right to redeem all the Notes pursuant to Section 3.07 of the Indenture or all conditions to such redemption have been satisfied or waived, each Holder shall have the right to require the Company to purchase all or part (equal to [●] or an integral multiple of [●] in excess thereof) of such Holder’s Notes at a purchase price in cash equal to 101% of the principal amount thereof, plus accrued and unpaid interest thereon, if any, to the date of purchase (subject to the right of Holders of record on the relevant record date to receive interest due on the relevant Interest Payment Date). No later than 60 days following any Change of Control, the Company shall mail a notice to each Holder setting forth the procedures governing the Change of Control Offer as set forth in the Indenture.</w:t>
      </w:r>
    </w:p>
    <w:p>
      <w:pPr>
        <w:spacing w:after="0" w:line="187" w:lineRule="exact"/>
        <w:rPr>
          <w:sz w:val="20"/>
          <w:szCs w:val="20"/>
          <w:color w:val="auto"/>
        </w:rPr>
      </w:pPr>
    </w:p>
    <w:p>
      <w:pPr>
        <w:jc w:val="both"/>
        <w:ind w:firstLine="1304"/>
        <w:spacing w:after="0" w:line="248" w:lineRule="auto"/>
        <w:tabs>
          <w:tab w:leader="none" w:pos="187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 Asset Disposition that requires the purchase of Notes pursuant to Section 4.10 of the Indenture, the Company shall be required to make an Asset Disposition Offer pursuant to Sections 3.09 and 4.10(b) of the Indenture to all Holders and, to the extent the Company or another Restricted Subsidiary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(and, in the case of any Pari Passu Indebtedness, an offer price of no more than) 100% of the principal amount thereof plus accrued and unpaid interest thereon, if any, to, but not including, the date of purchase, in accordance with Section 3.09 of the Indenture or the agreements governing the Pari Passu Indebtedness, as applicable, and in minimum denominations of [●] and in integral multiples of [●] in excess thereof.</w:t>
      </w:r>
    </w:p>
    <w:p>
      <w:pPr>
        <w:spacing w:after="0" w:line="185" w:lineRule="exact"/>
        <w:rPr>
          <w:sz w:val="20"/>
          <w:szCs w:val="20"/>
          <w:color w:val="auto"/>
        </w:rPr>
      </w:pPr>
    </w:p>
    <w:p>
      <w:pPr>
        <w:ind w:firstLine="1304"/>
        <w:spacing w:after="0" w:line="284" w:lineRule="auto"/>
        <w:tabs>
          <w:tab w:leader="none" w:pos="1777"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Redemption</w:t>
      </w:r>
      <w:r>
        <w:rPr>
          <w:rFonts w:ascii="Times New Roman" w:cs="Times New Roman" w:eastAsia="Times New Roman" w:hAnsi="Times New Roman"/>
          <w:sz w:val="22"/>
          <w:szCs w:val="22"/>
          <w:color w:val="auto"/>
        </w:rPr>
        <w:t>. Notice of redemption shall be given in accordance with Section 3.03 of the Indenture and the effect of notice of redemption is set forth in Section 3.04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ectPr>
          <w:pgSz w:w="11900" w:h="16838" w:orient="portrait"/>
          <w:cols w:equalWidth="0" w:num="1">
            <w:col w:w="11240"/>
          </w:cols>
          <w:pgMar w:left="320" w:top="1422" w:right="339" w:bottom="1440" w:gutter="0" w:footer="0" w:header="0"/>
        </w:sectPr>
      </w:pPr>
    </w:p>
    <w:bookmarkStart w:id="184" w:name="page185"/>
    <w:bookmarkEnd w:id="184"/>
    <w:p>
      <w:pPr>
        <w:jc w:val="both"/>
        <w:ind w:firstLine="1304"/>
        <w:spacing w:after="0" w:line="249" w:lineRule="auto"/>
        <w:tabs>
          <w:tab w:leader="none" w:pos="2047"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Denominations, Transfer, Exchange</w:t>
      </w:r>
      <w:r>
        <w:rPr>
          <w:rFonts w:ascii="Times New Roman" w:cs="Times New Roman" w:eastAsia="Times New Roman" w:hAnsi="Times New Roman"/>
          <w:sz w:val="22"/>
          <w:szCs w:val="22"/>
          <w:color w:val="auto"/>
        </w:rPr>
        <w:t>. The Notes are in registered form without coupons in minimum denominations of [●] and in integral multiples of [●] in excess thereof. The transfer of Notes may be registered and Notes may be exchanged as provided in the Indenture. The Registrar and the Trustee may require a Holder, among other things, to furnish appropriate endorsements and transfer documents. The Registrar may not require a Holder to pay any taxes and fees, except as otherwise set forth in the Indenture. The Registrar need not exchange or register the transfer of any Note or portion of a Note selected for redemption, except for the unredeemed portion of any Note being redeemed in part. Also, the Registrar need not exchange or register the transfer of any Notes for a period of 15 days before a selection of Notes to be redeemed or during the period between a record date and the corresponding Interest Payment Date.</w:t>
      </w:r>
    </w:p>
    <w:p>
      <w:pPr>
        <w:spacing w:after="0" w:line="195" w:lineRule="exact"/>
        <w:rPr>
          <w:rFonts w:ascii="Times New Roman" w:cs="Times New Roman" w:eastAsia="Times New Roman" w:hAnsi="Times New Roman"/>
          <w:sz w:val="22"/>
          <w:szCs w:val="22"/>
          <w:color w:val="auto"/>
        </w:rPr>
      </w:pPr>
    </w:p>
    <w:p>
      <w:pPr>
        <w:jc w:val="both"/>
        <w:ind w:firstLine="1304"/>
        <w:spacing w:after="0" w:line="262" w:lineRule="auto"/>
        <w:tabs>
          <w:tab w:leader="none" w:pos="2026"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The Initial Notes and Additional Notes are treated as a single class of securities under the Indenture and shall be secured by Liens and security interests, subject to Permitted Collateral Liens, in the Collateral on the terms and conditions set forth in the Indenture, the Security Documents, including the Intercreditor Agreement. The Security Agent holds the Collateral in trust for the benefit of the Trustee and the Holders, in each case pursuant to the Security Documents, including the Intercreditor Agreement. Each Holder, by accepting this Note, consents and agrees to the terms of the Security Documents, including the Intercreditor Agreement, as the same may be in effect or may be amended from time to time in accordance with their terms and the Indenture and authorizes and directs the Security Agent to enter into the Security Documents, including the Intercreditor Agreement, and to perform its obligations and exercise its rights thereunder in accordance therewith.</w:t>
      </w:r>
    </w:p>
    <w:p>
      <w:pPr>
        <w:spacing w:after="0" w:line="172" w:lineRule="exact"/>
        <w:rPr>
          <w:rFonts w:ascii="Times New Roman" w:cs="Times New Roman" w:eastAsia="Times New Roman" w:hAnsi="Times New Roman"/>
          <w:sz w:val="21"/>
          <w:szCs w:val="21"/>
          <w:color w:val="auto"/>
        </w:rPr>
      </w:pPr>
    </w:p>
    <w:p>
      <w:pPr>
        <w:ind w:firstLine="1304"/>
        <w:spacing w:after="0" w:line="271" w:lineRule="auto"/>
        <w:tabs>
          <w:tab w:leader="none" w:pos="195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Persons Deemed Owners</w:t>
      </w:r>
      <w:r>
        <w:rPr>
          <w:rFonts w:ascii="Times New Roman" w:cs="Times New Roman" w:eastAsia="Times New Roman" w:hAnsi="Times New Roman"/>
          <w:sz w:val="22"/>
          <w:szCs w:val="22"/>
          <w:color w:val="auto"/>
        </w:rPr>
        <w:t>. The registered Holder of a Note may be treated as its owner for all purposes, except as otherwise ordered by a court of competent jurisdiction.</w:t>
      </w:r>
    </w:p>
    <w:p>
      <w:pPr>
        <w:spacing w:after="0" w:line="157" w:lineRule="exact"/>
        <w:rPr>
          <w:rFonts w:ascii="Times New Roman" w:cs="Times New Roman" w:eastAsia="Times New Roman" w:hAnsi="Times New Roman"/>
          <w:sz w:val="22"/>
          <w:szCs w:val="22"/>
          <w:color w:val="auto"/>
        </w:rPr>
      </w:pPr>
    </w:p>
    <w:p>
      <w:pPr>
        <w:ind w:right="20" w:firstLine="1304"/>
        <w:spacing w:after="0" w:line="284" w:lineRule="auto"/>
        <w:tabs>
          <w:tab w:leader="none" w:pos="1912"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Supplement and Waiver</w:t>
      </w:r>
      <w:r>
        <w:rPr>
          <w:rFonts w:ascii="Times New Roman" w:cs="Times New Roman" w:eastAsia="Times New Roman" w:hAnsi="Times New Roman"/>
          <w:sz w:val="22"/>
          <w:szCs w:val="22"/>
          <w:color w:val="auto"/>
        </w:rPr>
        <w:t>. The provisions of the Indenture governing amendment, supplement and waiver are set forth in Article IX of the Indenture.</w:t>
      </w:r>
    </w:p>
    <w:p>
      <w:pPr>
        <w:spacing w:after="0" w:line="143"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Defaults and Remedies</w:t>
      </w:r>
      <w:r>
        <w:rPr>
          <w:rFonts w:ascii="Times New Roman" w:cs="Times New Roman" w:eastAsia="Times New Roman" w:hAnsi="Times New Roman"/>
          <w:sz w:val="22"/>
          <w:szCs w:val="22"/>
          <w:color w:val="auto"/>
        </w:rPr>
        <w:t>. Events of Default and Remedies are set forth in Article VI of the Indenture.</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2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Trustee Dealings with Company</w:t>
      </w:r>
      <w:r>
        <w:rPr>
          <w:rFonts w:ascii="Times New Roman" w:cs="Times New Roman" w:eastAsia="Times New Roman" w:hAnsi="Times New Roman"/>
          <w:sz w:val="22"/>
          <w:szCs w:val="22"/>
          <w:color w:val="auto"/>
        </w:rPr>
        <w:t>. The Trustee, in its individual or any other capacity, may make loans to, accept deposits from and perform services for the Company or its Affiliates, and may otherwise deal with the Company or its Affiliates, as if it were not the Trustee.</w:t>
      </w:r>
    </w:p>
    <w:p>
      <w:pPr>
        <w:spacing w:after="0" w:line="186" w:lineRule="exact"/>
        <w:rPr>
          <w:rFonts w:ascii="Times New Roman" w:cs="Times New Roman" w:eastAsia="Times New Roman" w:hAnsi="Times New Roman"/>
          <w:sz w:val="22"/>
          <w:szCs w:val="22"/>
          <w:color w:val="auto"/>
        </w:rPr>
      </w:pPr>
    </w:p>
    <w:p>
      <w:pPr>
        <w:jc w:val="both"/>
        <w:ind w:firstLine="1304"/>
        <w:spacing w:after="0" w:line="250" w:lineRule="auto"/>
        <w:tabs>
          <w:tab w:leader="none" w:pos="2061"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Recourse Against Others</w:t>
      </w:r>
      <w:r>
        <w:rPr>
          <w:rFonts w:ascii="Times New Roman" w:cs="Times New Roman" w:eastAsia="Times New Roman" w:hAnsi="Times New Roman"/>
          <w:sz w:val="22"/>
          <w:szCs w:val="22"/>
          <w:color w:val="auto"/>
        </w:rPr>
        <w:t>. No past, present or future director, officer, employee, incorporator or shareholder of the Company or any of their respective Subsidiaries or Affiliates, as such, shall have any liability for any obligations of the Company or the Guarantors under the Note Documents, or for any claim based on, in respect of, or by reason of, such obligations or their creation. Each Holder by accepting a Note waives and releases such liability. The waiver and release are part of the consideration for issuance of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ectPr>
          <w:pgSz w:w="11900" w:h="16838" w:orient="portrait"/>
          <w:cols w:equalWidth="0" w:num="1">
            <w:col w:w="11240"/>
          </w:cols>
          <w:pgMar w:left="320" w:top="1422" w:right="339" w:bottom="1440" w:gutter="0" w:footer="0" w:header="0"/>
        </w:sectPr>
      </w:pPr>
    </w:p>
    <w:bookmarkStart w:id="185" w:name="page186"/>
    <w:bookmarkEnd w:id="185"/>
    <w:p>
      <w:pPr>
        <w:ind w:firstLine="1304"/>
        <w:spacing w:after="0" w:line="271" w:lineRule="auto"/>
        <w:tabs>
          <w:tab w:leader="none" w:pos="191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Authentication</w:t>
      </w:r>
      <w:r>
        <w:rPr>
          <w:rFonts w:ascii="Times New Roman" w:cs="Times New Roman" w:eastAsia="Times New Roman" w:hAnsi="Times New Roman"/>
          <w:sz w:val="22"/>
          <w:szCs w:val="22"/>
          <w:color w:val="auto"/>
        </w:rPr>
        <w:t>. This Note will not be valid until authenticated by the manual or facsimile signature of the Trustee or the Authentication Agent.</w:t>
      </w:r>
    </w:p>
    <w:p>
      <w:pPr>
        <w:spacing w:after="0" w:line="157"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85"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Abbreviations</w:t>
      </w:r>
      <w:r>
        <w:rPr>
          <w:rFonts w:ascii="Times New Roman" w:cs="Times New Roman" w:eastAsia="Times New Roman" w:hAnsi="Times New Roman"/>
          <w:sz w:val="22"/>
          <w:szCs w:val="22"/>
          <w:color w:val="auto"/>
        </w:rPr>
        <w:t>. 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53"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ISIN Numbers and Common Codes</w:t>
      </w:r>
      <w:r>
        <w:rPr>
          <w:rFonts w:ascii="Times New Roman" w:cs="Times New Roman" w:eastAsia="Times New Roman" w:hAnsi="Times New Roman"/>
          <w:sz w:val="22"/>
          <w:szCs w:val="22"/>
          <w:color w:val="auto"/>
        </w:rPr>
        <w:t>. The Company has caused ISIN numbers and Common Codes to be printed on the Notes and the Trustee may use ISIN numbers and Common Codes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6" w:lineRule="exact"/>
        <w:rPr>
          <w:rFonts w:ascii="Times New Roman" w:cs="Times New Roman" w:eastAsia="Times New Roman" w:hAnsi="Times New Roman"/>
          <w:sz w:val="22"/>
          <w:szCs w:val="22"/>
          <w:color w:val="auto"/>
        </w:rPr>
      </w:pPr>
    </w:p>
    <w:p>
      <w:pPr>
        <w:ind w:right="20" w:firstLine="1304"/>
        <w:spacing w:after="0" w:line="271" w:lineRule="auto"/>
        <w:tabs>
          <w:tab w:leader="none" w:pos="20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NOTE WILL BE GOVERNED BY AND CONSTRUED IN ACCORDANCE WITH THE LAWS OF THE STATE OF NEW YORK.</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 shall furnish to any Holder upon written request and without charge a copy of the Indenture.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Requests may be made to:</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Encore Capital Group,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350 Camino de la Reina, Suite 100</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Diego, California 92108</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Chief Financial Officer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Treasury2@MCMCG.COM</w:t>
      </w:r>
    </w:p>
    <w:p>
      <w:pPr>
        <w:spacing w:after="0" w:line="20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-13970</wp:posOffset>
            </wp:positionV>
            <wp:extent cx="274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137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885190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1185545</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A-8</w:t>
      </w:r>
    </w:p>
    <w:p>
      <w:pPr>
        <w:sectPr>
          <w:pgSz w:w="11900" w:h="16838" w:orient="portrait"/>
          <w:cols w:equalWidth="0" w:num="1">
            <w:col w:w="11240"/>
          </w:cols>
          <w:pgMar w:left="320" w:top="1422"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-13970</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transfer this Note on the books of the Company. The agent may substitute another to act for him or her.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Your Signature: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 _________________________</w:t>
      </w:r>
    </w:p>
    <w:p>
      <w:pPr>
        <w:spacing w:after="0" w:line="220" w:lineRule="exact"/>
        <w:rPr>
          <w:sz w:val="20"/>
          <w:szCs w:val="20"/>
          <w:color w:val="auto"/>
        </w:rPr>
      </w:pPr>
    </w:p>
    <w:p>
      <w:pPr>
        <w:ind w:left="660" w:hanging="4"/>
        <w:spacing w:after="0" w:line="271" w:lineRule="auto"/>
        <w:tabs>
          <w:tab w:leader="none" w:pos="85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 in a recognized Signature Guarantee Medallion Program (or other signature guarantor acceptable to the Trustee).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OPTION OF HOLDER TO ELECT PURCHASE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you want to elect to have this Note purchased by the Company pursuant to Section 4.10 or Section 4.15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Indenture, check the appropriate box below:</w:t>
      </w:r>
    </w:p>
    <w:p>
      <w:pPr>
        <w:spacing w:after="0" w:line="148" w:lineRule="exact"/>
        <w:rPr>
          <w:sz w:val="20"/>
          <w:szCs w:val="20"/>
          <w:color w:val="auto"/>
        </w:rPr>
      </w:pPr>
    </w:p>
    <w:p>
      <w:pPr>
        <w:spacing w:after="0" w:line="253" w:lineRule="exact"/>
        <w:tabs>
          <w:tab w:leader="none" w:pos="600" w:val="left"/>
          <w:tab w:leader="none" w:pos="5600" w:val="left"/>
          <w:tab w:leader="none" w:pos="622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2"/>
          <w:szCs w:val="22"/>
          <w:color w:val="auto"/>
        </w:rPr>
        <w:t>Section 4.10</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Section 4.15</w:t>
      </w:r>
    </w:p>
    <w:p>
      <w:pPr>
        <w:spacing w:after="0" w:line="268"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If you want to elect to have only part of the Note purchased by the Company pursuant to Section 4.10 or Section 4.15 of the Indenture, state the amount you elect to have purchased: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Your Signature: 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face of this Note)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Identification No.:_____________________</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r>
        <w:rPr>
          <w:rFonts w:ascii="Arial" w:cs="Arial" w:eastAsia="Arial" w:hAnsi="Arial"/>
          <w:sz w:val="28"/>
          <w:szCs w:val="28"/>
          <w:color w:val="auto"/>
          <w:vertAlign w:val="superscript"/>
        </w:rPr>
        <w:t>1</w:t>
      </w:r>
    </w:p>
    <w:p>
      <w:pPr>
        <w:spacing w:after="0" w:line="163"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The initial principal amount of this Global Note is [●]. The following increases or decreases in this Global Note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2631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15" w:lineRule="exact"/>
        <w:rPr>
          <w:sz w:val="20"/>
          <w:szCs w:val="20"/>
          <w:color w:val="auto"/>
        </w:rPr>
      </w:pPr>
    </w:p>
    <w:p>
      <w:pPr>
        <w:ind w:left="100" w:hanging="92"/>
        <w:spacing w:after="0"/>
        <w:tabs>
          <w:tab w:leader="none" w:pos="100" w:val="left"/>
        </w:tabs>
        <w:numPr>
          <w:ilvl w:val="0"/>
          <w:numId w:val="229"/>
        </w:numPr>
        <w:rPr>
          <w:rFonts w:ascii="Arial" w:cs="Arial" w:eastAsia="Arial" w:hAnsi="Arial"/>
          <w:sz w:val="21"/>
          <w:szCs w:val="21"/>
          <w:color w:val="auto"/>
          <w:vertAlign w:val="superscript"/>
        </w:rPr>
      </w:pPr>
      <w:r>
        <w:rPr>
          <w:rFonts w:ascii="Times New Roman" w:cs="Times New Roman" w:eastAsia="Times New Roman" w:hAnsi="Times New Roman"/>
          <w:sz w:val="16"/>
          <w:szCs w:val="16"/>
          <w:color w:val="auto"/>
        </w:rPr>
        <w:t>Use the Schedule of Exchanges of Interests language if Note is in Global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A-9</w:t>
      </w:r>
    </w:p>
    <w:p>
      <w:pPr>
        <w:sectPr>
          <w:pgSz w:w="11900" w:h="16838" w:orient="portrait"/>
          <w:cols w:equalWidth="0" w:num="1">
            <w:col w:w="11240"/>
          </w:cols>
          <w:pgMar w:left="320" w:top="1422" w:right="339" w:bottom="1440" w:gutter="0" w:footer="0" w:header="0"/>
        </w:sectPr>
      </w:pPr>
    </w:p>
    <w:bookmarkStart w:id="187" w:name="page188"/>
    <w:bookmarkEnd w:id="187"/>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Date of</w:t>
            </w:r>
          </w:p>
        </w:tc>
        <w:tc>
          <w:tcPr>
            <w:tcW w:w="23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Amount of decrease in</w:t>
            </w: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340" w:type="dxa"/>
            <w:vAlign w:val="bottom"/>
          </w:tcPr>
          <w:p>
            <w:pPr>
              <w:ind w:left="380"/>
              <w:spacing w:after="0" w:line="216" w:lineRule="exact"/>
              <w:rPr>
                <w:sz w:val="20"/>
                <w:szCs w:val="20"/>
                <w:color w:val="auto"/>
              </w:rPr>
            </w:pPr>
            <w:r>
              <w:rPr>
                <w:rFonts w:ascii="Times New Roman" w:cs="Times New Roman" w:eastAsia="Times New Roman" w:hAnsi="Times New Roman"/>
                <w:sz w:val="22"/>
                <w:szCs w:val="22"/>
                <w:color w:val="auto"/>
              </w:rPr>
              <w:t>Principal Amount of</w:t>
            </w: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Increase/Decrease</w:t>
            </w:r>
          </w:p>
        </w:tc>
        <w:tc>
          <w:tcPr>
            <w:tcW w:w="23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this Global Note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Amount of increase in</w:t>
            </w:r>
          </w:p>
        </w:tc>
        <w:tc>
          <w:tcPr>
            <w:tcW w:w="23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Principal Amount of this</w:t>
            </w:r>
          </w:p>
        </w:tc>
        <w:tc>
          <w:tcPr>
            <w:tcW w:w="20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6"/>
              </w:rPr>
              <w:t>Signature of authorized</w:t>
            </w:r>
          </w:p>
        </w:tc>
        <w:tc>
          <w:tcPr>
            <w:tcW w:w="0" w:type="dxa"/>
            <w:vAlign w:val="bottom"/>
          </w:tcPr>
          <w:p>
            <w:pPr>
              <w:spacing w:after="0"/>
              <w:rPr>
                <w:sz w:val="1"/>
                <w:szCs w:val="1"/>
                <w:color w:val="auto"/>
              </w:rPr>
            </w:pPr>
          </w:p>
        </w:tc>
      </w:tr>
      <w:tr>
        <w:trPr>
          <w:trHeight w:val="216"/>
        </w:trPr>
        <w:tc>
          <w:tcPr>
            <w:tcW w:w="2060" w:type="dxa"/>
            <w:vAlign w:val="bottom"/>
            <w:vMerge w:val="continue"/>
          </w:tcPr>
          <w:p>
            <w:pPr>
              <w:spacing w:after="0"/>
              <w:rPr>
                <w:sz w:val="18"/>
                <w:szCs w:val="18"/>
                <w:color w:val="auto"/>
              </w:rPr>
            </w:pPr>
          </w:p>
        </w:tc>
        <w:tc>
          <w:tcPr>
            <w:tcW w:w="234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Global Note following</w:t>
            </w:r>
          </w:p>
        </w:tc>
        <w:tc>
          <w:tcPr>
            <w:tcW w:w="2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Principal Amount of</w:t>
            </w:r>
          </w:p>
        </w:tc>
        <w:tc>
          <w:tcPr>
            <w:tcW w:w="2340" w:type="dxa"/>
            <w:vAlign w:val="bottom"/>
          </w:tcPr>
          <w:p>
            <w:pPr>
              <w:ind w:left="160"/>
              <w:spacing w:after="0" w:line="216" w:lineRule="exact"/>
              <w:rPr>
                <w:sz w:val="20"/>
                <w:szCs w:val="20"/>
                <w:color w:val="auto"/>
              </w:rPr>
            </w:pPr>
            <w:r>
              <w:rPr>
                <w:rFonts w:ascii="Times New Roman" w:cs="Times New Roman" w:eastAsia="Times New Roman" w:hAnsi="Times New Roman"/>
                <w:sz w:val="22"/>
                <w:szCs w:val="22"/>
                <w:color w:val="auto"/>
              </w:rPr>
              <w:t>such increase (or</w:t>
            </w:r>
          </w:p>
        </w:tc>
        <w:tc>
          <w:tcPr>
            <w:tcW w:w="2060" w:type="dxa"/>
            <w:vAlign w:val="bottom"/>
          </w:tcPr>
          <w:p>
            <w:pPr>
              <w:ind w:left="40"/>
              <w:spacing w:after="0" w:line="216" w:lineRule="exact"/>
              <w:rPr>
                <w:sz w:val="20"/>
                <w:szCs w:val="20"/>
                <w:color w:val="auto"/>
              </w:rPr>
            </w:pPr>
            <w:r>
              <w:rPr>
                <w:rFonts w:ascii="Times New Roman" w:cs="Times New Roman" w:eastAsia="Times New Roman" w:hAnsi="Times New Roman"/>
                <w:sz w:val="22"/>
                <w:szCs w:val="22"/>
                <w:color w:val="auto"/>
              </w:rPr>
              <w:t>officer of Trustee or</w:t>
            </w: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0"/>
                <w:szCs w:val="20"/>
                <w:color w:val="auto"/>
              </w:rPr>
            </w:pPr>
            <w:r>
              <w:rPr>
                <w:rFonts w:ascii="Times New Roman" w:cs="Times New Roman" w:eastAsia="Times New Roman" w:hAnsi="Times New Roman"/>
                <w:sz w:val="22"/>
                <w:szCs w:val="22"/>
                <w:color w:val="auto"/>
              </w:rPr>
              <w:t>this Global Note</w:t>
            </w:r>
          </w:p>
        </w:tc>
        <w:tc>
          <w:tcPr>
            <w:tcW w:w="23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decrease)</w:t>
            </w:r>
          </w:p>
        </w:tc>
        <w:tc>
          <w:tcPr>
            <w:tcW w:w="2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Paying Agent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137795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260"/>
            <w:col w:w="6460"/>
          </w:cols>
          <w:pgMar w:left="400" w:top="141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A-10</w:t>
      </w:r>
    </w:p>
    <w:sectPr>
      <w:pgSz w:w="11900" w:h="16838" w:orient="portrait"/>
      <w:cols w:equalWidth="0" w:num="1">
        <w:col w:w="11020"/>
      </w:cols>
      <w:pgMar w:left="400" w:top="1412"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1)"/>
      <w:numFmt w:val="decimal"/>
      <w:start w:val="1"/>
    </w:lvl>
  </w:abstractNum>
  <w:abstractNum w:abstractNumId="2">
    <w:nsid w:val="39B7AAA2"/>
    <w:multiLevelType w:val="hybridMultilevel"/>
    <w:lvl w:ilvl="0">
      <w:lvlJc w:val="left"/>
      <w:lvlText w:val="(%1)"/>
      <w:numFmt w:val="decimal"/>
      <w:start w:val="2"/>
    </w:lvl>
  </w:abstractNum>
  <w:abstractNum w:abstractNumId="3">
    <w:nsid w:val="2B0D8DBE"/>
    <w:multiLevelType w:val="hybridMultilevel"/>
    <w:lvl w:ilvl="0">
      <w:lvlJc w:val="left"/>
      <w:lvlText w:val="(%1)"/>
      <w:numFmt w:val="decimal"/>
      <w:start w:val="1"/>
    </w:lvl>
    <w:lvl w:ilvl="1">
      <w:lvlJc w:val="left"/>
      <w:lvlText w:val="(%2)"/>
      <w:numFmt w:val="lowerLetter"/>
      <w:start w:val="1"/>
    </w:lvl>
  </w:abstractNum>
  <w:abstractNum w:abstractNumId="4">
    <w:nsid w:val="6C80EC70"/>
    <w:multiLevelType w:val="hybridMultilevel"/>
    <w:lvl w:ilvl="0">
      <w:lvlJc w:val="left"/>
      <w:lvlText w:val="(%1)"/>
      <w:numFmt w:val="decimal"/>
      <w:start w:val="1"/>
    </w:lvl>
  </w:abstractNum>
  <w:abstractNum w:abstractNumId="5">
    <w:nsid w:val="379E21B5"/>
    <w:multiLevelType w:val="hybridMultilevel"/>
    <w:lvl w:ilvl="0">
      <w:lvlJc w:val="left"/>
      <w:lvlText w:val="(%1)"/>
      <w:numFmt w:val="decimal"/>
      <w:start w:val="8"/>
    </w:lvl>
  </w:abstractNum>
  <w:abstractNum w:abstractNumId="6">
    <w:nsid w:val="69E373"/>
    <w:multiLevelType w:val="hybridMultilevel"/>
    <w:lvl w:ilvl="0">
      <w:lvlJc w:val="left"/>
      <w:lvlText w:val="(%1)"/>
      <w:numFmt w:val="decimal"/>
      <w:start w:val="2"/>
    </w:lvl>
  </w:abstractNum>
  <w:abstractNum w:abstractNumId="7">
    <w:nsid w:val="2C27173B"/>
    <w:multiLevelType w:val="hybridMultilevel"/>
    <w:lvl w:ilvl="0">
      <w:lvlJc w:val="left"/>
      <w:lvlText w:val="(%1)"/>
      <w:numFmt w:val="decimal"/>
      <w:start w:val="3"/>
    </w:lvl>
  </w:abstractNum>
  <w:abstractNum w:abstractNumId="8">
    <w:nsid w:val="4C9B0904"/>
    <w:multiLevelType w:val="hybridMultilevel"/>
    <w:lvl w:ilvl="0">
      <w:lvlJc w:val="left"/>
      <w:lvlText w:val="(%1)"/>
      <w:numFmt w:val="decimal"/>
      <w:start w:val="1"/>
    </w:lvl>
  </w:abstractNum>
  <w:abstractNum w:abstractNumId="9">
    <w:nsid w:val="6AA7B75C"/>
    <w:multiLevelType w:val="hybridMultilevel"/>
    <w:lvl w:ilvl="0">
      <w:lvlJc w:val="left"/>
      <w:lvlText w:val="(%1)"/>
      <w:numFmt w:val="decimal"/>
      <w:start w:val="5"/>
    </w:lvl>
  </w:abstractNum>
  <w:abstractNum w:abstractNumId="10">
    <w:nsid w:val="1DF029D3"/>
    <w:multiLevelType w:val="hybridMultilevel"/>
    <w:lvl w:ilvl="0">
      <w:lvlJc w:val="left"/>
      <w:lvlText w:val="(%1)"/>
      <w:numFmt w:val="decimal"/>
      <w:start w:val="1"/>
    </w:lvl>
  </w:abstractNum>
  <w:abstractNum w:abstractNumId="11">
    <w:nsid w:val="5675FF36"/>
    <w:multiLevelType w:val="hybridMultilevel"/>
    <w:lvl w:ilvl="0">
      <w:lvlJc w:val="left"/>
      <w:lvlText w:val="(%1)"/>
      <w:numFmt w:val="decimal"/>
      <w:start w:val="1"/>
    </w:lvl>
  </w:abstractNum>
  <w:abstractNum w:abstractNumId="12">
    <w:nsid w:val="3DD15094"/>
    <w:multiLevelType w:val="hybridMultilevel"/>
    <w:lvl w:ilvl="0">
      <w:lvlJc w:val="left"/>
      <w:lvlText w:val="(%1)"/>
      <w:numFmt w:val="decimal"/>
      <w:start w:val="7"/>
    </w:lvl>
  </w:abstractNum>
  <w:abstractNum w:abstractNumId="13">
    <w:nsid w:val="3DB012B3"/>
    <w:multiLevelType w:val="hybridMultilevel"/>
    <w:lvl w:ilvl="0">
      <w:lvlJc w:val="left"/>
      <w:lvlText w:val="(%1)"/>
      <w:numFmt w:val="decimal"/>
      <w:start w:val="1"/>
    </w:lvl>
  </w:abstractNum>
  <w:abstractNum w:abstractNumId="14">
    <w:nsid w:val="2708C9AF"/>
    <w:multiLevelType w:val="hybridMultilevel"/>
    <w:lvl w:ilvl="0">
      <w:lvlJc w:val="left"/>
      <w:lvlText w:val="(%1)"/>
      <w:numFmt w:val="decimal"/>
      <w:start w:val="4"/>
    </w:lvl>
  </w:abstractNum>
  <w:abstractNum w:abstractNumId="15">
    <w:nsid w:val="5B25ACE2"/>
    <w:multiLevelType w:val="hybridMultilevel"/>
    <w:lvl w:ilvl="0">
      <w:lvlJc w:val="left"/>
      <w:lvlText w:val="(%1)"/>
      <w:numFmt w:val="decimal"/>
      <w:start w:val="1"/>
    </w:lvl>
  </w:abstractNum>
  <w:abstractNum w:abstractNumId="16">
    <w:nsid w:val="175DFCF0"/>
    <w:multiLevelType w:val="hybridMultilevel"/>
    <w:lvl w:ilvl="0">
      <w:lvlJc w:val="left"/>
      <w:lvlText w:val="(%1)"/>
      <w:numFmt w:val="decimal"/>
      <w:start w:val="2"/>
    </w:lvl>
  </w:abstractNum>
  <w:abstractNum w:abstractNumId="17">
    <w:nsid w:val="4F97E3E4"/>
    <w:multiLevelType w:val="hybridMultilevel"/>
    <w:lvl w:ilvl="0">
      <w:lvlJc w:val="left"/>
      <w:lvlText w:val="(%1)"/>
      <w:numFmt w:val="decimal"/>
      <w:start w:val="1"/>
    </w:lvl>
    <w:lvl w:ilvl="1">
      <w:lvlJc w:val="left"/>
      <w:lvlText w:val="(%2)"/>
      <w:numFmt w:val="lowerLetter"/>
      <w:start w:val="1"/>
    </w:lvl>
  </w:abstractNum>
  <w:abstractNum w:abstractNumId="18">
    <w:nsid w:val="53B0A9E"/>
    <w:multiLevelType w:val="hybridMultilevel"/>
    <w:lvl w:ilvl="0">
      <w:lvlJc w:val="left"/>
      <w:lvlText w:val="(%1)"/>
      <w:numFmt w:val="decimal"/>
      <w:start w:val="1"/>
    </w:lvl>
  </w:abstractNum>
  <w:abstractNum w:abstractNumId="19">
    <w:nsid w:val="34FD6B4F"/>
    <w:multiLevelType w:val="hybridMultilevel"/>
    <w:lvl w:ilvl="0">
      <w:lvlJc w:val="left"/>
      <w:lvlText w:val="(%1)"/>
      <w:numFmt w:val="decimal"/>
      <w:start w:val="3"/>
    </w:lvl>
  </w:abstractNum>
  <w:abstractNum w:abstractNumId="20">
    <w:nsid w:val="5915FF32"/>
    <w:multiLevelType w:val="hybridMultilevel"/>
    <w:lvl w:ilvl="0">
      <w:lvlJc w:val="left"/>
      <w:lvlText w:val="(%1)"/>
      <w:numFmt w:val="decimal"/>
      <w:start w:val="1"/>
    </w:lvl>
  </w:abstractNum>
  <w:abstractNum w:abstractNumId="21">
    <w:nsid w:val="56438D15"/>
    <w:multiLevelType w:val="hybridMultilevel"/>
    <w:lvl w:ilvl="0">
      <w:lvlJc w:val="left"/>
      <w:lvlText w:val="(%1)"/>
      <w:numFmt w:val="decimal"/>
      <w:start w:val="4"/>
    </w:lvl>
  </w:abstractNum>
  <w:abstractNum w:abstractNumId="22">
    <w:nsid w:val="519E3149"/>
    <w:multiLevelType w:val="hybridMultilevel"/>
    <w:lvl w:ilvl="0">
      <w:lvlJc w:val="left"/>
      <w:lvlText w:val="(%1)"/>
      <w:numFmt w:val="decimal"/>
      <w:start w:val="1"/>
    </w:lvl>
  </w:abstractNum>
  <w:abstractNum w:abstractNumId="23">
    <w:nsid w:val="2C6E4AFD"/>
    <w:multiLevelType w:val="hybridMultilevel"/>
    <w:lvl w:ilvl="0">
      <w:lvlJc w:val="left"/>
      <w:lvlText w:val="(%1)"/>
      <w:numFmt w:val="decimal"/>
      <w:start w:val="1"/>
    </w:lvl>
  </w:abstractNum>
  <w:abstractNum w:abstractNumId="24">
    <w:nsid w:val="17A1B582"/>
    <w:multiLevelType w:val="hybridMultilevel"/>
    <w:lvl w:ilvl="0">
      <w:lvlJc w:val="left"/>
      <w:lvlText w:val="(%1)"/>
      <w:numFmt w:val="decimal"/>
      <w:start w:val="8"/>
    </w:lvl>
  </w:abstractNum>
  <w:abstractNum w:abstractNumId="25">
    <w:nsid w:val="4DF72E4E"/>
    <w:multiLevelType w:val="hybridMultilevel"/>
    <w:lvl w:ilvl="0">
      <w:lvlJc w:val="left"/>
      <w:lvlText w:val="(%1)"/>
      <w:numFmt w:val="lowerRoman"/>
      <w:start w:val="1"/>
    </w:lvl>
  </w:abstractNum>
  <w:abstractNum w:abstractNumId="26">
    <w:nsid w:val="5046B5A9"/>
    <w:multiLevelType w:val="hybridMultilevel"/>
    <w:lvl w:ilvl="0">
      <w:lvlJc w:val="left"/>
      <w:lvlText w:val="(%1)"/>
      <w:numFmt w:val="decimal"/>
      <w:start w:val="1"/>
    </w:lvl>
  </w:abstractNum>
  <w:abstractNum w:abstractNumId="27">
    <w:nsid w:val="5D888A08"/>
    <w:multiLevelType w:val="hybridMultilevel"/>
    <w:lvl w:ilvl="0">
      <w:lvlJc w:val="left"/>
      <w:lvlText w:val="(%1)"/>
      <w:numFmt w:val="decimal"/>
      <w:start w:val="1"/>
    </w:lvl>
  </w:abstractNum>
  <w:abstractNum w:abstractNumId="28">
    <w:nsid w:val="2A082C70"/>
    <w:multiLevelType w:val="hybridMultilevel"/>
    <w:lvl w:ilvl="0">
      <w:lvlJc w:val="left"/>
      <w:lvlText w:val="%1"/>
      <w:numFmt w:val="decimal"/>
      <w:start w:val="1"/>
    </w:lvl>
    <w:lvl w:ilvl="1">
      <w:lvlJc w:val="left"/>
      <w:lvlText w:val="(%2)"/>
      <w:numFmt w:val="decimal"/>
      <w:start w:val="4"/>
    </w:lvl>
  </w:abstractNum>
  <w:abstractNum w:abstractNumId="29">
    <w:nsid w:val="5EC6AFD4"/>
    <w:multiLevelType w:val="hybridMultilevel"/>
    <w:lvl w:ilvl="0">
      <w:lvlJc w:val="left"/>
      <w:lvlText w:val="(%1)"/>
      <w:numFmt w:val="decimal"/>
      <w:start w:val="3"/>
    </w:lvl>
    <w:lvl w:ilvl="1">
      <w:lvlJc w:val="left"/>
      <w:lvlText w:val="%2"/>
      <w:numFmt w:val="decimal"/>
      <w:start w:val="1"/>
    </w:lvl>
  </w:abstractNum>
  <w:abstractNum w:abstractNumId="30">
    <w:nsid w:val="19E21BB2"/>
    <w:multiLevelType w:val="hybridMultilevel"/>
    <w:lvl w:ilvl="0">
      <w:lvlJc w:val="left"/>
      <w:lvlText w:val="(%1)"/>
      <w:numFmt w:val="decimal"/>
      <w:start w:val="1"/>
    </w:lvl>
  </w:abstractNum>
  <w:abstractNum w:abstractNumId="31">
    <w:nsid w:val="75E0858A"/>
    <w:multiLevelType w:val="hybridMultilevel"/>
    <w:lvl w:ilvl="0">
      <w:lvlJc w:val="left"/>
      <w:lvlText w:val="(%1)"/>
      <w:numFmt w:val="decimal"/>
      <w:start w:val="1"/>
    </w:lvl>
  </w:abstractNum>
  <w:abstractNum w:abstractNumId="32">
    <w:nsid w:val="57A61A29"/>
    <w:multiLevelType w:val="hybridMultilevel"/>
    <w:lvl w:ilvl="0">
      <w:lvlJc w:val="left"/>
      <w:lvlText w:val="(%1)"/>
      <w:numFmt w:val="decimal"/>
      <w:start w:val="1"/>
    </w:lvl>
  </w:abstractNum>
  <w:abstractNum w:abstractNumId="33">
    <w:nsid w:val="5399C654"/>
    <w:multiLevelType w:val="hybridMultilevel"/>
    <w:lvl w:ilvl="0">
      <w:lvlJc w:val="left"/>
      <w:lvlText w:val="(%1)"/>
      <w:numFmt w:val="upperLetter"/>
      <w:start w:val="3"/>
    </w:lvl>
  </w:abstractNum>
  <w:abstractNum w:abstractNumId="34">
    <w:nsid w:val="20EE1348"/>
    <w:multiLevelType w:val="hybridMultilevel"/>
    <w:lvl w:ilvl="0">
      <w:lvlJc w:val="left"/>
      <w:lvlText w:val="(%1)"/>
      <w:numFmt w:val="decimal"/>
      <w:start w:val="1"/>
    </w:lvl>
  </w:abstractNum>
  <w:abstractNum w:abstractNumId="35">
    <w:nsid w:val="4427069A"/>
    <w:multiLevelType w:val="hybridMultilevel"/>
    <w:lvl w:ilvl="0">
      <w:lvlJc w:val="left"/>
      <w:lvlText w:val="(%1)"/>
      <w:numFmt w:val="decimal"/>
      <w:start w:val="6"/>
    </w:lvl>
  </w:abstractNum>
  <w:abstractNum w:abstractNumId="36">
    <w:nsid w:val="B37E80A"/>
    <w:multiLevelType w:val="hybridMultilevel"/>
    <w:lvl w:ilvl="0">
      <w:lvlJc w:val="left"/>
      <w:lvlText w:val="(%1)"/>
      <w:numFmt w:val="decimal"/>
      <w:start w:val="16"/>
    </w:lvl>
  </w:abstractNum>
  <w:abstractNum w:abstractNumId="37">
    <w:nsid w:val="2157F6BC"/>
    <w:multiLevelType w:val="hybridMultilevel"/>
    <w:lvl w:ilvl="0">
      <w:lvlJc w:val="left"/>
      <w:lvlText w:val="(%1)"/>
      <w:numFmt w:val="decimal"/>
      <w:start w:val="1"/>
    </w:lvl>
  </w:abstractNum>
  <w:abstractNum w:abstractNumId="38">
    <w:nsid w:val="704E1DD5"/>
    <w:multiLevelType w:val="hybridMultilevel"/>
    <w:lvl w:ilvl="0">
      <w:lvlJc w:val="left"/>
      <w:lvlText w:val="(%1)"/>
      <w:numFmt w:val="decimal"/>
      <w:start w:val="6"/>
    </w:lvl>
  </w:abstractNum>
  <w:abstractNum w:abstractNumId="39">
    <w:nsid w:val="57D2F10E"/>
    <w:multiLevelType w:val="hybridMultilevel"/>
    <w:lvl w:ilvl="0">
      <w:lvlJc w:val="left"/>
      <w:lvlText w:val="(%1)"/>
      <w:numFmt w:val="decimal"/>
      <w:start w:val="13"/>
    </w:lvl>
  </w:abstractNum>
  <w:abstractNum w:abstractNumId="40">
    <w:nsid w:val="BFFAE18"/>
    <w:multiLevelType w:val="hybridMultilevel"/>
    <w:lvl w:ilvl="0">
      <w:lvlJc w:val="left"/>
      <w:lvlText w:val="(%1)"/>
      <w:numFmt w:val="decimal"/>
      <w:start w:val="20"/>
    </w:lvl>
  </w:abstractNum>
  <w:abstractNum w:abstractNumId="41">
    <w:nsid w:val="E3E47A8"/>
    <w:multiLevelType w:val="hybridMultilevel"/>
    <w:lvl w:ilvl="0">
      <w:lvlJc w:val="left"/>
      <w:lvlText w:val="(%1)"/>
      <w:numFmt w:val="decimal"/>
      <w:start w:val="1"/>
    </w:lvl>
  </w:abstractNum>
  <w:abstractNum w:abstractNumId="42">
    <w:nsid w:val="2E48F044"/>
    <w:multiLevelType w:val="hybridMultilevel"/>
    <w:lvl w:ilvl="0">
      <w:lvlJc w:val="left"/>
      <w:lvlText w:val="(%1)"/>
      <w:numFmt w:val="decimal"/>
      <w:start w:val="1"/>
    </w:lvl>
  </w:abstractNum>
  <w:abstractNum w:abstractNumId="43">
    <w:nsid w:val="49D0FEAC"/>
    <w:multiLevelType w:val="hybridMultilevel"/>
    <w:lvl w:ilvl="0">
      <w:lvlJc w:val="left"/>
      <w:lvlText w:val="(%1)"/>
      <w:numFmt w:val="decimal"/>
      <w:start w:val="1"/>
    </w:lvl>
    <w:lvl w:ilvl="1">
      <w:lvlJc w:val="left"/>
      <w:lvlText w:val="(%2)"/>
      <w:numFmt w:val="lowerLetter"/>
      <w:start w:val="1"/>
    </w:lvl>
  </w:abstractNum>
  <w:abstractNum w:abstractNumId="44">
    <w:nsid w:val="4BEE5A5B"/>
    <w:multiLevelType w:val="hybridMultilevel"/>
    <w:lvl w:ilvl="0">
      <w:lvlJc w:val="left"/>
      <w:lvlText w:val="%1"/>
      <w:numFmt w:val="decimal"/>
      <w:start w:val="1"/>
    </w:lvl>
    <w:lvl w:ilvl="1">
      <w:lvlJc w:val="left"/>
      <w:lvlText w:val="(%2)"/>
      <w:numFmt w:val="lowerLetter"/>
      <w:start w:val="3"/>
    </w:lvl>
  </w:abstractNum>
  <w:abstractNum w:abstractNumId="45">
    <w:nsid w:val="5551B9F3"/>
    <w:multiLevelType w:val="hybridMultilevel"/>
    <w:lvl w:ilvl="0">
      <w:lvlJc w:val="left"/>
      <w:lvlText w:val="(%1)"/>
      <w:numFmt w:val="decimal"/>
      <w:start w:val="2"/>
    </w:lvl>
    <w:lvl w:ilvl="1">
      <w:lvlJc w:val="left"/>
      <w:lvlText w:val="%2"/>
      <w:numFmt w:val="lowerLetter"/>
      <w:start w:val="1"/>
    </w:lvl>
  </w:abstractNum>
  <w:abstractNum w:abstractNumId="46">
    <w:nsid w:val="24F6AB8E"/>
    <w:multiLevelType w:val="hybridMultilevel"/>
    <w:lvl w:ilvl="0">
      <w:lvlJc w:val="left"/>
      <w:lvlText w:val="(%1)"/>
      <w:numFmt w:val="decimal"/>
      <w:start w:val="1"/>
    </w:lvl>
  </w:abstractNum>
  <w:abstractNum w:abstractNumId="47">
    <w:nsid w:val="634C574C"/>
    <w:multiLevelType w:val="hybridMultilevel"/>
    <w:lvl w:ilvl="0">
      <w:lvlJc w:val="left"/>
      <w:lvlText w:val="(%1)"/>
      <w:numFmt w:val="decimal"/>
      <w:start w:val="1"/>
    </w:lvl>
  </w:abstractNum>
  <w:abstractNum w:abstractNumId="48">
    <w:nsid w:val="24E99DD7"/>
    <w:multiLevelType w:val="hybridMultilevel"/>
    <w:lvl w:ilvl="0">
      <w:lvlJc w:val="left"/>
      <w:lvlText w:val="(%1)"/>
      <w:numFmt w:val="decimal"/>
      <w:start w:val="2"/>
    </w:lvl>
  </w:abstractNum>
  <w:abstractNum w:abstractNumId="49">
    <w:nsid w:val="2A31B62D"/>
    <w:multiLevelType w:val="hybridMultilevel"/>
    <w:lvl w:ilvl="0">
      <w:lvlJc w:val="left"/>
      <w:lvlText w:val="(%1)"/>
      <w:numFmt w:val="decimal"/>
      <w:start w:val="1"/>
    </w:lvl>
    <w:lvl w:ilvl="1">
      <w:lvlJc w:val="left"/>
      <w:lvlText w:val="(%2)"/>
      <w:numFmt w:val="lowerLetter"/>
      <w:start w:val="1"/>
    </w:lvl>
  </w:abstractNum>
  <w:abstractNum w:abstractNumId="50">
    <w:nsid w:val="1849C29B"/>
    <w:multiLevelType w:val="hybridMultilevel"/>
    <w:lvl w:ilvl="0">
      <w:lvlJc w:val="left"/>
      <w:lvlText w:val="(%1)"/>
      <w:numFmt w:val="decimal"/>
      <w:start w:val="1"/>
    </w:lvl>
    <w:lvl w:ilvl="1">
      <w:lvlJc w:val="left"/>
      <w:lvlText w:val="(%2)"/>
      <w:numFmt w:val="lowerLetter"/>
      <w:start w:val="1"/>
    </w:lvl>
  </w:abstractNum>
  <w:abstractNum w:abstractNumId="51">
    <w:nsid w:val="7DFF9D09"/>
    <w:multiLevelType w:val="hybridMultilevel"/>
    <w:lvl w:ilvl="0">
      <w:lvlJc w:val="left"/>
      <w:lvlText w:val="(%1)"/>
      <w:numFmt w:val="decimal"/>
      <w:start w:val="3"/>
    </w:lvl>
  </w:abstractNum>
  <w:abstractNum w:abstractNumId="52">
    <w:nsid w:val="754342"/>
    <w:multiLevelType w:val="hybridMultilevel"/>
    <w:lvl w:ilvl="0">
      <w:lvlJc w:val="left"/>
      <w:lvlText w:val="(%1)"/>
      <w:numFmt w:val="decimal"/>
      <w:start w:val="4"/>
    </w:lvl>
  </w:abstractNum>
  <w:abstractNum w:abstractNumId="53">
    <w:nsid w:val="69E7F3E5"/>
    <w:multiLevelType w:val="hybridMultilevel"/>
    <w:lvl w:ilvl="0">
      <w:lvlJc w:val="left"/>
      <w:lvlText w:val="(%1)"/>
      <w:numFmt w:val="decimal"/>
      <w:start w:val="1"/>
    </w:lvl>
  </w:abstractNum>
  <w:abstractNum w:abstractNumId="54">
    <w:nsid w:val="2A6DE806"/>
    <w:multiLevelType w:val="hybridMultilevel"/>
    <w:lvl w:ilvl="0">
      <w:lvlJc w:val="left"/>
      <w:lvlText w:val="(%1)"/>
      <w:numFmt w:val="decimal"/>
      <w:start w:val="1"/>
    </w:lvl>
  </w:abstractNum>
  <w:abstractNum w:abstractNumId="55">
    <w:nsid w:val="1816F8C4"/>
    <w:multiLevelType w:val="hybridMultilevel"/>
    <w:lvl w:ilvl="0">
      <w:lvlJc w:val="left"/>
      <w:lvlText w:val="(%1)"/>
      <w:numFmt w:val="decimal"/>
      <w:start w:val="2"/>
    </w:lvl>
  </w:abstractNum>
  <w:abstractNum w:abstractNumId="56">
    <w:nsid w:val="37DF2233"/>
    <w:multiLevelType w:val="hybridMultilevel"/>
    <w:lvl w:ilvl="0">
      <w:lvlJc w:val="left"/>
      <w:lvlText w:val="(%1)"/>
      <w:numFmt w:val="decimal"/>
      <w:start w:val="1"/>
    </w:lvl>
    <w:lvl w:ilvl="1">
      <w:lvlJc w:val="left"/>
      <w:lvlText w:val="(%2)"/>
      <w:numFmt w:val="lowerLetter"/>
      <w:start w:val="1"/>
    </w:lvl>
  </w:abstractNum>
  <w:abstractNum w:abstractNumId="57">
    <w:nsid w:val="7AB49D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759F82C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9">
    <w:nsid w:val="61E74EA3"/>
    <w:multiLevelType w:val="hybridMultilevel"/>
    <w:lvl w:ilvl="0">
      <w:lvlJc w:val="left"/>
      <w:lvlText w:val="(%1)"/>
      <w:numFmt w:val="lowerLetter"/>
      <w:start w:val="2"/>
    </w:lvl>
  </w:abstractNum>
  <w:abstractNum w:abstractNumId="60">
    <w:nsid w:val="597B4D84"/>
    <w:multiLevelType w:val="hybridMultilevel"/>
    <w:lvl w:ilvl="0">
      <w:lvlJc w:val="left"/>
      <w:lvlText w:val="(%1)"/>
      <w:numFmt w:val="lowerLetter"/>
      <w:start w:val="1"/>
    </w:lvl>
  </w:abstractNum>
  <w:abstractNum w:abstractNumId="61">
    <w:nsid w:val="F819E7F"/>
    <w:multiLevelType w:val="hybridMultilevel"/>
    <w:lvl w:ilvl="0">
      <w:lvlJc w:val="left"/>
      <w:lvlText w:val="(%1)"/>
      <w:numFmt w:val="lowerLetter"/>
      <w:start w:val="2"/>
    </w:lvl>
  </w:abstractNum>
  <w:abstractNum w:abstractNumId="62">
    <w:nsid w:val="57C7D42D"/>
    <w:multiLevelType w:val="hybridMultilevel"/>
    <w:lvl w:ilvl="0">
      <w:lvlJc w:val="left"/>
      <w:lvlText w:val="(%1)"/>
      <w:numFmt w:val="decimal"/>
      <w:start w:val="1"/>
    </w:lvl>
  </w:abstractNum>
  <w:abstractNum w:abstractNumId="63">
    <w:nsid w:val="312167AD"/>
    <w:multiLevelType w:val="hybridMultilevel"/>
    <w:lvl w:ilvl="0">
      <w:lvlJc w:val="left"/>
      <w:lvlText w:val="(%1)"/>
      <w:numFmt w:val="decimal"/>
      <w:start w:val="5"/>
    </w:lvl>
  </w:abstractNum>
  <w:abstractNum w:abstractNumId="64">
    <w:nsid w:val="631B64D4"/>
    <w:multiLevelType w:val="hybridMultilevel"/>
    <w:lvl w:ilvl="0">
      <w:lvlJc w:val="left"/>
      <w:lvlText w:val="(%1)"/>
      <w:numFmt w:val="lowerLetter"/>
      <w:start w:val="1"/>
    </w:lvl>
    <w:lvl w:ilvl="1">
      <w:lvlJc w:val="left"/>
      <w:lvlText w:val="(%2)"/>
      <w:numFmt w:val="decimal"/>
      <w:start w:val="1"/>
    </w:lvl>
  </w:abstractNum>
  <w:abstractNum w:abstractNumId="65">
    <w:nsid w:val="78B5E776"/>
    <w:multiLevelType w:val="hybridMultilevel"/>
    <w:lvl w:ilvl="0">
      <w:lvlJc w:val="left"/>
      <w:lvlText w:val="(%1)"/>
      <w:numFmt w:val="lowerLetter"/>
      <w:start w:val="2"/>
    </w:lvl>
    <w:lvl w:ilvl="1">
      <w:lvlJc w:val="left"/>
      <w:lvlText w:val="(%2)"/>
      <w:numFmt w:val="decimal"/>
      <w:start w:val="1"/>
    </w:lvl>
  </w:abstractNum>
  <w:abstractNum w:abstractNumId="66">
    <w:nsid w:val="75486E47"/>
    <w:multiLevelType w:val="hybridMultilevel"/>
    <w:lvl w:ilvl="0">
      <w:lvlJc w:val="left"/>
      <w:lvlText w:val="(%1)"/>
      <w:numFmt w:val="decimal"/>
      <w:start w:val="3"/>
    </w:lvl>
    <w:lvl w:ilvl="1">
      <w:lvlJc w:val="left"/>
      <w:lvlText w:val="(%2)"/>
      <w:numFmt w:val="upperLetter"/>
      <w:start w:val="1"/>
    </w:lvl>
  </w:abstractNum>
  <w:abstractNum w:abstractNumId="67">
    <w:nsid w:val="6E534CD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8">
    <w:nsid w:val="1A0DDE32"/>
    <w:multiLevelType w:val="hybridMultilevel"/>
    <w:lvl w:ilvl="0">
      <w:lvlJc w:val="left"/>
      <w:lvlText w:val="(%1)"/>
      <w:numFmt w:val="upperLetter"/>
      <w:start w:val="4"/>
    </w:lvl>
  </w:abstractNum>
  <w:abstractNum w:abstractNumId="69">
    <w:nsid w:val="65968C1C"/>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0">
    <w:nsid w:val="46263DEC"/>
    <w:multiLevelType w:val="hybridMultilevel"/>
    <w:lvl w:ilvl="0">
      <w:lvlJc w:val="left"/>
      <w:lvlText w:val="(%1)"/>
      <w:numFmt w:val="lowerRoman"/>
      <w:start w:val="2"/>
    </w:lvl>
  </w:abstractNum>
  <w:abstractNum w:abstractNumId="71">
    <w:nsid w:val="260D8C4A"/>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72">
    <w:nsid w:val="73D4D3C4"/>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73">
    <w:nsid w:val="746F2E30"/>
    <w:multiLevelType w:val="hybridMultilevel"/>
    <w:lvl w:ilvl="0">
      <w:lvlJc w:val="left"/>
      <w:lvlText w:val="(%1)"/>
      <w:numFmt w:val="upperLetter"/>
      <w:start w:val="2"/>
    </w:lvl>
  </w:abstractNum>
  <w:abstractNum w:abstractNumId="74">
    <w:nsid w:val="6FDE8AF6"/>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75">
    <w:nsid w:val="3FC32E20"/>
    <w:multiLevelType w:val="hybridMultilevel"/>
    <w:lvl w:ilvl="0">
      <w:lvlJc w:val="left"/>
      <w:lvlText w:val="(%1)"/>
      <w:numFmt w:val="lowerRoman"/>
      <w:start w:val="2"/>
    </w:lvl>
  </w:abstractNum>
  <w:abstractNum w:abstractNumId="76">
    <w:nsid w:val="49C0E823"/>
    <w:multiLevelType w:val="hybridMultilevel"/>
    <w:lvl w:ilvl="0">
      <w:lvlJc w:val="left"/>
      <w:lvlText w:val="(%1)"/>
      <w:numFmt w:val="decimal"/>
      <w:start w:val="3"/>
    </w:lvl>
  </w:abstractNum>
  <w:abstractNum w:abstractNumId="77">
    <w:nsid w:val="14D53685"/>
    <w:multiLevelType w:val="hybridMultilevel"/>
    <w:lvl w:ilvl="0">
      <w:lvlJc w:val="left"/>
      <w:lvlText w:val="(%1)"/>
      <w:numFmt w:val="lowerLetter"/>
      <w:start w:val="5"/>
    </w:lvl>
  </w:abstractNum>
  <w:abstractNum w:abstractNumId="78">
    <w:nsid w:val="230F856C"/>
    <w:multiLevelType w:val="hybridMultilevel"/>
    <w:lvl w:ilvl="0">
      <w:lvlJc w:val="left"/>
      <w:lvlText w:val="(%1)"/>
      <w:numFmt w:val="decimal"/>
      <w:start w:val="1"/>
    </w:lvl>
    <w:lvl w:ilvl="1">
      <w:lvlJc w:val="left"/>
      <w:lvlText w:val="(%2)"/>
      <w:numFmt w:val="upperLetter"/>
      <w:start w:val="1"/>
    </w:lvl>
  </w:abstractNum>
  <w:abstractNum w:abstractNumId="79">
    <w:nsid w:val="6EAA85FB"/>
    <w:multiLevelType w:val="hybridMultilevel"/>
    <w:lvl w:ilvl="0">
      <w:lvlJc w:val="left"/>
      <w:lvlText w:val="(%1)"/>
      <w:numFmt w:val="decimal"/>
      <w:start w:val="3"/>
    </w:lvl>
  </w:abstractNum>
  <w:abstractNum w:abstractNumId="80">
    <w:nsid w:val="3F06ECB2"/>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81">
    <w:nsid w:val="3B594807"/>
    <w:multiLevelType w:val="hybridMultilevel"/>
    <w:lvl w:ilvl="0">
      <w:lvlJc w:val="left"/>
      <w:lvlText w:val="%1"/>
      <w:numFmt w:val="decimal"/>
      <w:start w:val="1"/>
    </w:lvl>
    <w:lvl w:ilvl="1">
      <w:lvlJc w:val="left"/>
      <w:lvlText w:val="(%2)"/>
      <w:numFmt w:val="upperLetter"/>
      <w:start w:val="2"/>
    </w:lvl>
  </w:abstractNum>
  <w:abstractNum w:abstractNumId="82">
    <w:nsid w:val="6CAA2304"/>
    <w:multiLevelType w:val="hybridMultilevel"/>
    <w:lvl w:ilvl="0">
      <w:lvlJc w:val="left"/>
      <w:lvlText w:val="(%1)"/>
      <w:numFmt w:val="decimal"/>
      <w:start w:val="2"/>
    </w:lvl>
    <w:lvl w:ilvl="1">
      <w:lvlJc w:val="left"/>
      <w:lvlText w:val="%2"/>
      <w:numFmt w:val="upperLetter"/>
      <w:start w:val="1"/>
    </w:lvl>
  </w:abstractNum>
  <w:abstractNum w:abstractNumId="83">
    <w:nsid w:val="3F7C2FF4"/>
    <w:multiLevelType w:val="hybridMultilevel"/>
    <w:lvl w:ilvl="0">
      <w:lvlJc w:val="left"/>
      <w:lvlText w:val="(%1)"/>
      <w:numFmt w:val="lowerLetter"/>
      <w:start w:val="8"/>
    </w:lvl>
    <w:lvl w:ilvl="1">
      <w:lvlJc w:val="left"/>
      <w:lvlText w:val="(%2)"/>
      <w:numFmt w:val="decimal"/>
      <w:start w:val="1"/>
    </w:lvl>
  </w:abstractNum>
  <w:abstractNum w:abstractNumId="84">
    <w:nsid w:val="25413BEC"/>
    <w:multiLevelType w:val="hybridMultilevel"/>
    <w:lvl w:ilvl="0">
      <w:lvlJc w:val="left"/>
      <w:lvlText w:val="(%1)"/>
      <w:numFmt w:val="decimal"/>
      <w:start w:val="3"/>
    </w:lvl>
    <w:lvl w:ilvl="1">
      <w:lvlJc w:val="left"/>
      <w:lvlText w:val="(%2)"/>
      <w:numFmt w:val="upperLetter"/>
      <w:start w:val="1"/>
    </w:lvl>
  </w:abstractNum>
  <w:abstractNum w:abstractNumId="85">
    <w:nsid w:val="17180B0B"/>
    <w:multiLevelType w:val="hybridMultilevel"/>
    <w:lvl w:ilvl="0">
      <w:lvlJc w:val="left"/>
      <w:lvlText w:val="(%1)"/>
      <w:numFmt w:val="lowerLetter"/>
      <w:start w:val="1"/>
    </w:lvl>
  </w:abstractNum>
  <w:abstractNum w:abstractNumId="86">
    <w:nsid w:val="579328B9"/>
    <w:multiLevelType w:val="hybridMultilevel"/>
    <w:lvl w:ilvl="0">
      <w:lvlJc w:val="left"/>
      <w:lvlText w:val="(%1)"/>
      <w:numFmt w:val="decimal"/>
      <w:start w:val="1"/>
    </w:lvl>
  </w:abstractNum>
  <w:abstractNum w:abstractNumId="87">
    <w:nsid w:val="5D205E20"/>
    <w:multiLevelType w:val="hybridMultilevel"/>
    <w:lvl w:ilvl="0">
      <w:lvlJc w:val="left"/>
      <w:lvlText w:val="(%1)"/>
      <w:numFmt w:val="decimal"/>
      <w:start w:val="1"/>
    </w:lvl>
  </w:abstractNum>
  <w:abstractNum w:abstractNumId="88">
    <w:nsid w:val="11CCA8BA"/>
    <w:multiLevelType w:val="hybridMultilevel"/>
    <w:lvl w:ilvl="0">
      <w:lvlJc w:val="left"/>
      <w:lvlText w:val="(%1)"/>
      <w:numFmt w:val="decimal"/>
      <w:start w:val="3"/>
    </w:lvl>
  </w:abstractNum>
  <w:abstractNum w:abstractNumId="89">
    <w:nsid w:val="4D32AB86"/>
    <w:multiLevelType w:val="hybridMultilevel"/>
    <w:lvl w:ilvl="0">
      <w:lvlJc w:val="left"/>
      <w:lvlText w:val="%1"/>
      <w:numFmt w:val="lowerLetter"/>
      <w:start w:val="1"/>
    </w:lvl>
    <w:lvl w:ilvl="1">
      <w:lvlJc w:val="left"/>
      <w:lvlText w:val="(%2)"/>
      <w:numFmt w:val="decimal"/>
      <w:start w:val="11"/>
    </w:lvl>
  </w:abstractNum>
  <w:abstractNum w:abstractNumId="90">
    <w:nsid w:val="3F07ACC3"/>
    <w:multiLevelType w:val="hybridMultilevel"/>
    <w:lvl w:ilvl="0">
      <w:lvlJc w:val="left"/>
      <w:lvlText w:val="(%1)"/>
      <w:numFmt w:val="lowerLetter"/>
      <w:start w:val="2"/>
    </w:lvl>
    <w:lvl w:ilvl="1">
      <w:lvlJc w:val="left"/>
      <w:lvlText w:val="%2"/>
      <w:numFmt w:val="decimal"/>
      <w:start w:val="1"/>
    </w:lvl>
  </w:abstractNum>
  <w:abstractNum w:abstractNumId="91">
    <w:nsid w:val="6B47F63E"/>
    <w:multiLevelType w:val="hybridMultilevel"/>
    <w:lvl w:ilvl="0">
      <w:lvlJc w:val="left"/>
      <w:lvlText w:val="(%1)"/>
      <w:numFmt w:val="lowerLetter"/>
      <w:start w:val="5"/>
    </w:lvl>
    <w:lvl w:ilvl="1">
      <w:lvlJc w:val="left"/>
      <w:lvlText w:val="(%2)"/>
      <w:numFmt w:val="decimal"/>
      <w:start w:val="1"/>
    </w:lvl>
  </w:abstractNum>
  <w:abstractNum w:abstractNumId="92">
    <w:nsid w:val="5CB44A05"/>
    <w:multiLevelType w:val="hybridMultilevel"/>
    <w:lvl w:ilvl="0">
      <w:lvlJc w:val="left"/>
      <w:lvlText w:val="(%1)"/>
      <w:numFmt w:val="lowerLetter"/>
      <w:start w:val="6"/>
    </w:lvl>
  </w:abstractNum>
  <w:abstractNum w:abstractNumId="93">
    <w:nsid w:val="16CF80F1"/>
    <w:multiLevelType w:val="hybridMultilevel"/>
    <w:lvl w:ilvl="0">
      <w:lvlJc w:val="left"/>
      <w:lvlText w:val="(%1)"/>
      <w:numFmt w:val="lowerLetter"/>
      <w:start w:val="1"/>
    </w:lvl>
  </w:abstractNum>
  <w:abstractNum w:abstractNumId="94">
    <w:nsid w:val="1C695DEC"/>
    <w:multiLevelType w:val="hybridMultilevel"/>
    <w:lvl w:ilvl="0">
      <w:lvlJc w:val="left"/>
      <w:lvlText w:val="(%1)"/>
      <w:numFmt w:val="lowerLetter"/>
      <w:start w:val="1"/>
    </w:lvl>
  </w:abstractNum>
  <w:abstractNum w:abstractNumId="95">
    <w:nsid w:val="3FCFAED9"/>
    <w:multiLevelType w:val="hybridMultilevel"/>
    <w:lvl w:ilvl="0">
      <w:lvlJc w:val="left"/>
      <w:lvlText w:val="(%1)"/>
      <w:numFmt w:val="lowerLetter"/>
      <w:start w:val="3"/>
    </w:lvl>
  </w:abstractNum>
  <w:abstractNum w:abstractNumId="96">
    <w:nsid w:val="F856867"/>
    <w:multiLevelType w:val="hybridMultilevel"/>
    <w:lvl w:ilvl="0">
      <w:lvlJc w:val="left"/>
      <w:lvlText w:val="(%1)"/>
      <w:numFmt w:val="lowerLetter"/>
      <w:start w:val="1"/>
    </w:lvl>
  </w:abstractNum>
  <w:abstractNum w:abstractNumId="97">
    <w:nsid w:val="11B1CC33"/>
    <w:multiLevelType w:val="hybridMultilevel"/>
    <w:lvl w:ilvl="0">
      <w:lvlJc w:val="left"/>
      <w:lvlText w:val="(%1)"/>
      <w:numFmt w:val="lowerLetter"/>
      <w:start w:val="1"/>
    </w:lvl>
  </w:abstractNum>
  <w:abstractNum w:abstractNumId="98">
    <w:nsid w:val="2E22FBB7"/>
    <w:multiLevelType w:val="hybridMultilevel"/>
    <w:lvl w:ilvl="0">
      <w:lvlJc w:val="left"/>
      <w:lvlText w:val="(%1)"/>
      <w:numFmt w:val="lowerLetter"/>
      <w:start w:val="1"/>
    </w:lvl>
  </w:abstractNum>
  <w:abstractNum w:abstractNumId="99">
    <w:nsid w:val="29934699"/>
    <w:multiLevelType w:val="hybridMultilevel"/>
    <w:lvl w:ilvl="0">
      <w:lvlJc w:val="left"/>
      <w:lvlText w:val="(%1)"/>
      <w:numFmt w:val="lowerLetter"/>
      <w:start w:val="2"/>
    </w:lvl>
    <w:lvl w:ilvl="1">
      <w:lvlJc w:val="left"/>
      <w:lvlText w:val="(%2)"/>
      <w:numFmt w:val="decimal"/>
      <w:start w:val="1"/>
    </w:lvl>
  </w:abstractNum>
  <w:abstractNum w:abstractNumId="100">
    <w:nsid w:val="77485850"/>
    <w:multiLevelType w:val="hybridMultilevel"/>
    <w:lvl w:ilvl="0">
      <w:lvlJc w:val="left"/>
      <w:lvlText w:val="(%1)"/>
      <w:numFmt w:val="lowerLetter"/>
      <w:start w:val="5"/>
    </w:lvl>
  </w:abstractNum>
  <w:abstractNum w:abstractNumId="101">
    <w:nsid w:val="744939A3"/>
    <w:multiLevelType w:val="hybridMultilevel"/>
    <w:lvl w:ilvl="0">
      <w:lvlJc w:val="left"/>
      <w:lvlText w:val="(%1)"/>
      <w:numFmt w:val="lowerLetter"/>
      <w:start w:val="1"/>
    </w:lvl>
  </w:abstractNum>
  <w:abstractNum w:abstractNumId="102">
    <w:nsid w:val="4FA0D2E3"/>
    <w:multiLevelType w:val="hybridMultilevel"/>
    <w:lvl w:ilvl="0">
      <w:lvlJc w:val="left"/>
      <w:lvlText w:val="(%1)"/>
      <w:numFmt w:val="lowerLetter"/>
      <w:start w:val="6"/>
    </w:lvl>
  </w:abstractNum>
  <w:abstractNum w:abstractNumId="103">
    <w:nsid w:val="6B1D2C14"/>
    <w:multiLevelType w:val="hybridMultilevel"/>
    <w:lvl w:ilvl="0">
      <w:lvlJc w:val="left"/>
      <w:lvlText w:val="(%1)"/>
      <w:numFmt w:val="lowerLetter"/>
      <w:start w:val="1"/>
    </w:lvl>
  </w:abstractNum>
  <w:abstractNum w:abstractNumId="104">
    <w:nsid w:val="68B867D3"/>
    <w:multiLevelType w:val="hybridMultilevel"/>
    <w:lvl w:ilvl="0">
      <w:lvlJc w:val="left"/>
      <w:lvlText w:val="(%1)"/>
      <w:numFmt w:val="lowerLetter"/>
      <w:start w:val="1"/>
    </w:lvl>
  </w:abstractNum>
  <w:abstractNum w:abstractNumId="105">
    <w:nsid w:val="3F7F5DD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6">
    <w:nsid w:val="2AE05A34"/>
    <w:multiLevelType w:val="hybridMultilevel"/>
    <w:lvl w:ilvl="0">
      <w:lvlJc w:val="left"/>
      <w:lvlText w:val="%1"/>
      <w:numFmt w:val="decimal"/>
      <w:start w:val="1"/>
    </w:lvl>
    <w:lvl w:ilvl="1">
      <w:lvlJc w:val="left"/>
      <w:lvlText w:val="(%2)"/>
      <w:numFmt w:val="upperLetter"/>
      <w:start w:val="2"/>
    </w:lvl>
  </w:abstractNum>
  <w:abstractNum w:abstractNumId="107">
    <w:nsid w:val="32794FF7"/>
    <w:multiLevelType w:val="hybridMultilevel"/>
    <w:lvl w:ilvl="0">
      <w:lvlJc w:val="left"/>
      <w:lvlText w:val="(%1)"/>
      <w:numFmt w:val="decimal"/>
      <w:start w:val="2"/>
    </w:lvl>
    <w:lvl w:ilvl="1">
      <w:lvlJc w:val="left"/>
      <w:lvlText w:val="(%2)"/>
      <w:numFmt w:val="upperLetter"/>
      <w:start w:val="1"/>
    </w:lvl>
  </w:abstractNum>
  <w:abstractNum w:abstractNumId="108">
    <w:nsid w:val="5454945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09">
    <w:nsid w:val="4DEFDFA0"/>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10">
    <w:nsid w:val="2123D5F2"/>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1">
    <w:nsid w:val="135B8110"/>
    <w:multiLevelType w:val="hybridMultilevel"/>
    <w:lvl w:ilvl="0">
      <w:lvlJc w:val="left"/>
      <w:lvlText w:val="(%1)"/>
      <w:numFmt w:val="lowerLetter"/>
      <w:start w:val="5"/>
    </w:lvl>
    <w:lvl w:ilvl="1">
      <w:lvlJc w:val="left"/>
      <w:lvlText w:val="(%2)"/>
      <w:numFmt w:val="decimal"/>
      <w:start w:val="1"/>
    </w:lvl>
  </w:abstractNum>
  <w:abstractNum w:abstractNumId="112">
    <w:nsid w:val="94927A8"/>
    <w:multiLevelType w:val="hybridMultilevel"/>
    <w:lvl w:ilvl="0">
      <w:lvlJc w:val="left"/>
      <w:lvlText w:val="(%1)"/>
      <w:numFmt w:val="lowerLetter"/>
      <w:start w:val="6"/>
    </w:lvl>
  </w:abstractNum>
  <w:abstractNum w:abstractNumId="113">
    <w:nsid w:val="DCDF8F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4">
    <w:nsid w:val="52D7B105"/>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abstractNum>
  <w:abstractNum w:abstractNumId="115">
    <w:nsid w:val="2E8A639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16">
    <w:nsid w:val="24E60401"/>
    <w:multiLevelType w:val="hybridMultilevel"/>
    <w:lvl w:ilvl="0">
      <w:lvlJc w:val="left"/>
      <w:lvlText w:val="(%1)"/>
      <w:numFmt w:val="lowerLetter"/>
      <w:start w:val="35"/>
    </w:lvl>
    <w:lvl w:ilvl="1">
      <w:lvlJc w:val="left"/>
      <w:lvlText w:val="(%2)"/>
      <w:numFmt w:val="decimal"/>
      <w:start w:val="2"/>
    </w:lvl>
    <w:lvl w:ilvl="2">
      <w:lvlJc w:val="left"/>
      <w:lvlText w:val="%3"/>
      <w:numFmt w:val="upperLetter"/>
      <w:start w:val="1"/>
    </w:lvl>
  </w:abstractNum>
  <w:abstractNum w:abstractNumId="117">
    <w:nsid w:val="2A6AD9B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18">
    <w:nsid w:val="BAAC1B4"/>
    <w:multiLevelType w:val="hybridMultilevel"/>
    <w:lvl w:ilvl="0">
      <w:lvlJc w:val="left"/>
      <w:lvlText w:val="(%1)"/>
      <w:numFmt w:val="upperLetter"/>
      <w:start w:val="1"/>
    </w:lvl>
    <w:lvl w:ilvl="1">
      <w:lvlJc w:val="left"/>
      <w:lvlText w:val="(%2)"/>
      <w:numFmt w:val="lowerRoman"/>
      <w:start w:val="2"/>
    </w:lvl>
  </w:abstractNum>
  <w:abstractNum w:abstractNumId="119">
    <w:nsid w:val="36B2ACBC"/>
    <w:multiLevelType w:val="hybridMultilevel"/>
    <w:lvl w:ilvl="0">
      <w:lvlJc w:val="left"/>
      <w:lvlText w:val="%1"/>
      <w:numFmt w:val="upperLetter"/>
      <w:start w:val="1"/>
    </w:lvl>
    <w:lvl w:ilvl="1">
      <w:lvlJc w:val="left"/>
      <w:lvlText w:val="(%2)"/>
      <w:numFmt w:val="lowerRoman"/>
      <w:start w:val="4"/>
    </w:lvl>
  </w:abstractNum>
  <w:abstractNum w:abstractNumId="120">
    <w:nsid w:val="779D8544"/>
    <w:multiLevelType w:val="hybridMultilevel"/>
    <w:lvl w:ilvl="0">
      <w:lvlJc w:val="left"/>
      <w:lvlText w:val="(%1)"/>
      <w:numFmt w:val="upperLetter"/>
      <w:start w:val="1"/>
    </w:lvl>
    <w:lvl w:ilvl="1">
      <w:lvlJc w:val="left"/>
      <w:lvlText w:val="%2"/>
      <w:numFmt w:val="lowerRoman"/>
      <w:start w:val="1"/>
    </w:lvl>
  </w:abstractNum>
  <w:abstractNum w:abstractNumId="121">
    <w:nsid w:val="4AB26E78"/>
    <w:multiLevelType w:val="hybridMultilevel"/>
    <w:lvl w:ilvl="0">
      <w:lvlJc w:val="left"/>
      <w:lvlText w:val="%1"/>
      <w:numFmt w:val="upperLetter"/>
      <w:start w:val="1"/>
    </w:lvl>
    <w:lvl w:ilvl="1">
      <w:lvlJc w:val="left"/>
      <w:lvlText w:val="(%2)"/>
      <w:numFmt w:val="lowerRoman"/>
      <w:start w:val="6"/>
    </w:lvl>
  </w:abstractNum>
  <w:abstractNum w:abstractNumId="122">
    <w:nsid w:val="21FAA2FA"/>
    <w:multiLevelType w:val="hybridMultilevel"/>
    <w:lvl w:ilvl="0">
      <w:lvlJc w:val="left"/>
      <w:lvlText w:val="(%1)"/>
      <w:numFmt w:val="upperLetter"/>
      <w:start w:val="1"/>
    </w:lvl>
    <w:lvl w:ilvl="1">
      <w:lvlJc w:val="left"/>
      <w:lvlText w:val="%2"/>
      <w:numFmt w:val="lowerRoman"/>
      <w:start w:val="1"/>
    </w:lvl>
  </w:abstractNum>
  <w:abstractNum w:abstractNumId="123">
    <w:nsid w:val="5451CF49"/>
    <w:multiLevelType w:val="hybridMultilevel"/>
    <w:lvl w:ilvl="0">
      <w:lvlJc w:val="left"/>
      <w:lvlText w:val="(%1)"/>
      <w:numFmt w:val="lowerRoman"/>
      <w:start w:val="7"/>
    </w:lvl>
  </w:abstractNum>
  <w:abstractNum w:abstractNumId="124">
    <w:nsid w:val="6181EF69"/>
    <w:multiLevelType w:val="hybridMultilevel"/>
    <w:lvl w:ilvl="0">
      <w:lvlJc w:val="left"/>
      <w:lvlText w:val="(%1)"/>
      <w:numFmt w:val="lowerLetter"/>
      <w:start w:val="2"/>
    </w:lvl>
    <w:lvl w:ilvl="1">
      <w:lvlJc w:val="left"/>
      <w:lvlText w:val="(%2)"/>
      <w:numFmt w:val="decimal"/>
      <w:start w:val="1"/>
    </w:lvl>
  </w:abstractNum>
  <w:abstractNum w:abstractNumId="125">
    <w:nsid w:val="3E6400E6"/>
    <w:multiLevelType w:val="hybridMultilevel"/>
    <w:lvl w:ilvl="0">
      <w:lvlJc w:val="left"/>
      <w:lvlText w:val="(%1)"/>
      <w:numFmt w:val="decimal"/>
      <w:start w:val="2"/>
    </w:lvl>
    <w:lvl w:ilvl="1">
      <w:lvlJc w:val="left"/>
      <w:lvlText w:val="(%2)"/>
      <w:numFmt w:val="upperLetter"/>
      <w:start w:val="1"/>
    </w:lvl>
  </w:abstractNum>
  <w:abstractNum w:abstractNumId="126">
    <w:nsid w:val="14217E23"/>
    <w:multiLevelType w:val="hybridMultilevel"/>
    <w:lvl w:ilvl="0">
      <w:lvlJc w:val="left"/>
      <w:lvlText w:val="(%1)"/>
      <w:numFmt w:val="decimal"/>
      <w:start w:val="6"/>
    </w:lvl>
    <w:lvl w:ilvl="1">
      <w:lvlJc w:val="left"/>
      <w:lvlText w:val="(%2)"/>
      <w:numFmt w:val="upperLetter"/>
      <w:start w:val="1"/>
    </w:lvl>
  </w:abstractNum>
  <w:abstractNum w:abstractNumId="127">
    <w:nsid w:val="710757D0"/>
    <w:multiLevelType w:val="hybridMultilevel"/>
    <w:lvl w:ilvl="0">
      <w:lvlJc w:val="left"/>
      <w:lvlText w:val="(%1)"/>
      <w:numFmt w:val="decimal"/>
      <w:start w:val="11"/>
    </w:lvl>
  </w:abstractNum>
  <w:abstractNum w:abstractNumId="128">
    <w:nsid w:val="5015CD1A"/>
    <w:multiLevelType w:val="hybridMultilevel"/>
    <w:lvl w:ilvl="0">
      <w:lvlJc w:val="left"/>
      <w:lvlText w:val="%1"/>
      <w:numFmt w:val="lowerLetter"/>
      <w:start w:val="1"/>
    </w:lvl>
    <w:lvl w:ilvl="1">
      <w:lvlJc w:val="left"/>
      <w:lvlText w:val="(%2)"/>
      <w:numFmt w:val="decimal"/>
      <w:start w:val="15"/>
    </w:lvl>
  </w:abstractNum>
  <w:abstractNum w:abstractNumId="129">
    <w:nsid w:val="424479DA"/>
    <w:multiLevelType w:val="hybridMultilevel"/>
    <w:lvl w:ilvl="0">
      <w:lvlJc w:val="left"/>
      <w:lvlText w:val="(%1)"/>
      <w:numFmt w:val="lowerLetter"/>
      <w:start w:val="3"/>
    </w:lvl>
    <w:lvl w:ilvl="1">
      <w:lvlJc w:val="left"/>
      <w:lvlText w:val="%2"/>
      <w:numFmt w:val="decimal"/>
      <w:start w:val="1"/>
    </w:lvl>
  </w:abstractNum>
  <w:abstractNum w:abstractNumId="130">
    <w:nsid w:val="1A9A9E69"/>
    <w:multiLevelType w:val="hybridMultilevel"/>
    <w:lvl w:ilvl="0">
      <w:lvlJc w:val="left"/>
      <w:lvlText w:val="(%1)"/>
      <w:numFmt w:val="lowerLetter"/>
      <w:start w:val="1"/>
    </w:lvl>
    <w:lvl w:ilvl="1">
      <w:lvlJc w:val="left"/>
      <w:lvlText w:val="(%2)"/>
      <w:numFmt w:val="decimal"/>
      <w:start w:val="1"/>
    </w:lvl>
  </w:abstractNum>
  <w:abstractNum w:abstractNumId="131">
    <w:nsid w:val="475E256A"/>
    <w:multiLevelType w:val="hybridMultilevel"/>
    <w:lvl w:ilvl="0">
      <w:lvlJc w:val="left"/>
      <w:lvlText w:val="(%1)"/>
      <w:numFmt w:val="lowerLetter"/>
      <w:start w:val="2"/>
    </w:lvl>
    <w:lvl w:ilvl="1">
      <w:lvlJc w:val="left"/>
      <w:lvlText w:val="(%2)"/>
      <w:numFmt w:val="decimal"/>
      <w:start w:val="1"/>
    </w:lvl>
  </w:abstractNum>
  <w:abstractNum w:abstractNumId="132">
    <w:nsid w:val="368DB37E"/>
    <w:multiLevelType w:val="hybridMultilevel"/>
    <w:lvl w:ilvl="0">
      <w:lvlJc w:val="left"/>
      <w:lvlText w:val="%1"/>
      <w:numFmt w:val="upperLetter"/>
      <w:start w:val="1"/>
    </w:lvl>
    <w:lvl w:ilvl="1">
      <w:lvlJc w:val="left"/>
      <w:lvlText w:val="%2"/>
      <w:numFmt w:val="decimal"/>
      <w:start w:val="1"/>
    </w:lvl>
    <w:lvl w:ilvl="2">
      <w:lvlJc w:val="left"/>
      <w:lvlText w:val="(%3)"/>
      <w:numFmt w:val="decimal"/>
      <w:start w:val="3"/>
    </w:lvl>
  </w:abstractNum>
  <w:abstractNum w:abstractNumId="133">
    <w:nsid w:val="6A3B714C"/>
    <w:multiLevelType w:val="hybridMultilevel"/>
    <w:lvl w:ilvl="0">
      <w:lvlJc w:val="left"/>
      <w:lvlText w:val="%1"/>
      <w:numFmt w:val="upperLetter"/>
      <w:start w:val="1"/>
    </w:lvl>
    <w:lvl w:ilvl="1">
      <w:lvlJc w:val="left"/>
      <w:lvlText w:val="(%2)"/>
      <w:numFmt w:val="decimal"/>
      <w:start w:val="2"/>
    </w:lvl>
    <w:lvl w:ilvl="2">
      <w:lvlJc w:val="left"/>
      <w:lvlText w:val="(%3)"/>
      <w:numFmt w:val="decimal"/>
      <w:start w:val="4"/>
    </w:lvl>
  </w:abstractNum>
  <w:abstractNum w:abstractNumId="134">
    <w:nsid w:val="327B517E"/>
    <w:multiLevelType w:val="hybridMultilevel"/>
    <w:lvl w:ilvl="0">
      <w:lvlJc w:val="left"/>
      <w:lvlText w:val="(%1)"/>
      <w:numFmt w:val="upperLetter"/>
      <w:start w:val="1"/>
    </w:lvl>
    <w:lvl w:ilvl="1">
      <w:lvlJc w:val="left"/>
      <w:lvlText w:val="%2"/>
      <w:numFmt w:val="decimal"/>
      <w:start w:val="1"/>
    </w:lvl>
    <w:lvl w:ilvl="2">
      <w:lvlJc w:val="left"/>
      <w:lvlText w:val="(%3)"/>
      <w:numFmt w:val="decimal"/>
      <w:start w:val="5"/>
    </w:lvl>
  </w:abstractNum>
  <w:abstractNum w:abstractNumId="135">
    <w:nsid w:val="1F461B51"/>
    <w:multiLevelType w:val="hybridMultilevel"/>
    <w:lvl w:ilvl="0">
      <w:lvlJc w:val="left"/>
      <w:lvlText w:val="(%1)"/>
      <w:numFmt w:val="decimal"/>
      <w:start w:val="6"/>
    </w:lvl>
  </w:abstractNum>
  <w:abstractNum w:abstractNumId="136">
    <w:nsid w:val="29BACF25"/>
    <w:multiLevelType w:val="hybridMultilevel"/>
    <w:lvl w:ilvl="0">
      <w:lvlJc w:val="left"/>
      <w:lvlText w:val="(%1)"/>
      <w:numFmt w:val="decimal"/>
      <w:start w:val="14"/>
    </w:lvl>
  </w:abstractNum>
  <w:abstractNum w:abstractNumId="137">
    <w:nsid w:val="5D5BABB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38">
    <w:nsid w:val="51BF6B48"/>
    <w:multiLevelType w:val="hybridMultilevel"/>
    <w:lvl w:ilvl="0">
      <w:lvlJc w:val="left"/>
      <w:lvlText w:val="(%1)"/>
      <w:numFmt w:val="decimal"/>
      <w:start w:val="3"/>
    </w:lvl>
    <w:lvl w:ilvl="1">
      <w:lvlJc w:val="left"/>
      <w:lvlText w:val="(%2)"/>
      <w:numFmt w:val="upperLetter"/>
      <w:start w:val="1"/>
    </w:lvl>
  </w:abstractNum>
  <w:abstractNum w:abstractNumId="139">
    <w:nsid w:val="7E0F6384"/>
    <w:multiLevelType w:val="hybridMultilevel"/>
    <w:lvl w:ilvl="0">
      <w:lvlJc w:val="left"/>
      <w:lvlText w:val="(%1)"/>
      <w:numFmt w:val="decimal"/>
      <w:start w:val="6"/>
    </w:lvl>
  </w:abstractNum>
  <w:abstractNum w:abstractNumId="140">
    <w:nsid w:val="2B4B8B53"/>
    <w:multiLevelType w:val="hybridMultilevel"/>
    <w:lvl w:ilvl="0">
      <w:lvlJc w:val="left"/>
      <w:lvlText w:val="%1"/>
      <w:numFmt w:val="decimal"/>
      <w:start w:val="1"/>
    </w:lvl>
    <w:lvl w:ilvl="1">
      <w:lvlJc w:val="left"/>
      <w:lvlText w:val="(%2)"/>
      <w:numFmt w:val="decimal"/>
      <w:start w:val="10"/>
    </w:lvl>
  </w:abstractNum>
  <w:abstractNum w:abstractNumId="141">
    <w:nsid w:val="72E3413A"/>
    <w:multiLevelType w:val="hybridMultilevel"/>
    <w:lvl w:ilvl="0">
      <w:lvlJc w:val="left"/>
      <w:lvlText w:val="(%1)"/>
      <w:numFmt w:val="decimal"/>
      <w:start w:val="14"/>
    </w:lvl>
    <w:lvl w:ilvl="1">
      <w:lvlJc w:val="left"/>
      <w:lvlText w:val="(%2)"/>
      <w:numFmt w:val="decimal"/>
      <w:start w:val="14"/>
    </w:lvl>
  </w:abstractNum>
  <w:abstractNum w:abstractNumId="142">
    <w:nsid w:val="116AE494"/>
    <w:multiLevelType w:val="hybridMultilevel"/>
    <w:lvl w:ilvl="0">
      <w:lvlJc w:val="left"/>
      <w:lvlText w:val="(%1)"/>
      <w:numFmt w:val="lowerLetter"/>
      <w:start w:val="3"/>
    </w:lvl>
    <w:lvl w:ilvl="1">
      <w:lvlJc w:val="left"/>
      <w:lvlText w:val="(%2)"/>
      <w:numFmt w:val="decimal"/>
      <w:start w:val="1"/>
    </w:lvl>
  </w:abstractNum>
  <w:abstractNum w:abstractNumId="143">
    <w:nsid w:val="3494B2FB"/>
    <w:multiLevelType w:val="hybridMultilevel"/>
    <w:lvl w:ilvl="0">
      <w:lvlJc w:val="left"/>
      <w:lvlText w:val="%1"/>
      <w:numFmt w:val="lowerLetter"/>
      <w:start w:val="1"/>
    </w:lvl>
    <w:lvl w:ilvl="1">
      <w:lvlJc w:val="left"/>
      <w:lvlText w:val="(%2)"/>
      <w:numFmt w:val="decimal"/>
      <w:start w:val="7"/>
    </w:lvl>
  </w:abstractNum>
  <w:abstractNum w:abstractNumId="144">
    <w:nsid w:val="B13A31"/>
    <w:multiLevelType w:val="hybridMultilevel"/>
    <w:lvl w:ilvl="0">
      <w:lvlJc w:val="left"/>
      <w:lvlText w:val="(%1)"/>
      <w:numFmt w:val="lowerLetter"/>
      <w:start w:val="4"/>
    </w:lvl>
    <w:lvl w:ilvl="1">
      <w:lvlJc w:val="left"/>
      <w:lvlText w:val="%2"/>
      <w:numFmt w:val="decimal"/>
      <w:start w:val="1"/>
    </w:lvl>
  </w:abstractNum>
  <w:abstractNum w:abstractNumId="145">
    <w:nsid w:val="64429599"/>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6">
    <w:nsid w:val="631F1690"/>
    <w:multiLevelType w:val="hybridMultilevel"/>
    <w:lvl w:ilvl="0">
      <w:lvlJc w:val="left"/>
      <w:lvlText w:val="(%1)"/>
      <w:numFmt w:val="upperLetter"/>
      <w:start w:val="2"/>
    </w:lvl>
  </w:abstractNum>
  <w:abstractNum w:abstractNumId="147">
    <w:nsid w:val="25973E32"/>
    <w:multiLevelType w:val="hybridMultilevel"/>
    <w:lvl w:ilvl="0">
      <w:lvlJc w:val="left"/>
      <w:lvlText w:val="(%1)"/>
      <w:numFmt w:val="lowerLetter"/>
      <w:start w:val="2"/>
    </w:lvl>
  </w:abstractNum>
  <w:abstractNum w:abstractNumId="148">
    <w:nsid w:val="EAD6F57"/>
    <w:multiLevelType w:val="hybridMultilevel"/>
    <w:lvl w:ilvl="0">
      <w:lvlJc w:val="left"/>
      <w:lvlText w:val="(%1)"/>
      <w:numFmt w:val="lowerLetter"/>
      <w:start w:val="3"/>
    </w:lvl>
    <w:lvl w:ilvl="1">
      <w:lvlJc w:val="left"/>
      <w:lvlText w:val="(%2)"/>
      <w:numFmt w:val="decimal"/>
      <w:start w:val="1"/>
    </w:lvl>
  </w:abstractNum>
  <w:abstractNum w:abstractNumId="149">
    <w:nsid w:val="6EC9D844"/>
    <w:multiLevelType w:val="hybridMultilevel"/>
    <w:lvl w:ilvl="0">
      <w:lvlJc w:val="left"/>
      <w:lvlText w:val="%1"/>
      <w:numFmt w:val="lowerLetter"/>
      <w:start w:val="1"/>
    </w:lvl>
    <w:lvl w:ilvl="1">
      <w:lvlJc w:val="left"/>
      <w:lvlText w:val="(%2)"/>
      <w:numFmt w:val="decimal"/>
      <w:start w:val="2"/>
    </w:lvl>
  </w:abstractNum>
  <w:abstractNum w:abstractNumId="150">
    <w:nsid w:val="5C49EAEE"/>
    <w:multiLevelType w:val="hybridMultilevel"/>
    <w:lvl w:ilvl="0">
      <w:lvlJc w:val="left"/>
      <w:lvlText w:val="(%1)"/>
      <w:numFmt w:val="lowerLetter"/>
      <w:start w:val="7"/>
    </w:lvl>
    <w:lvl w:ilvl="1">
      <w:lvlJc w:val="left"/>
      <w:lvlText w:val="%2"/>
      <w:numFmt w:val="decimal"/>
      <w:start w:val="1"/>
    </w:lvl>
  </w:abstractNum>
  <w:abstractNum w:abstractNumId="151">
    <w:nsid w:val="64AF49B"/>
    <w:multiLevelType w:val="hybridMultilevel"/>
    <w:lvl w:ilvl="0">
      <w:lvlJc w:val="left"/>
      <w:lvlText w:val="(%1)"/>
      <w:numFmt w:val="lowerLetter"/>
      <w:start w:val="1"/>
    </w:lvl>
    <w:lvl w:ilvl="1">
      <w:lvlJc w:val="left"/>
      <w:lvlText w:val="(%2)"/>
      <w:numFmt w:val="decimal"/>
      <w:start w:val="1"/>
    </w:lvl>
  </w:abstractNum>
  <w:abstractNum w:abstractNumId="152">
    <w:nsid w:val="397C46BC"/>
    <w:multiLevelType w:val="hybridMultilevel"/>
    <w:lvl w:ilvl="0">
      <w:lvlJc w:val="left"/>
      <w:lvlText w:val="(%1)"/>
      <w:numFmt w:val="decimal"/>
      <w:start w:val="2"/>
    </w:lvl>
  </w:abstractNum>
  <w:abstractNum w:abstractNumId="153">
    <w:nsid w:val="7E448DE9"/>
    <w:multiLevelType w:val="hybridMultilevel"/>
    <w:lvl w:ilvl="0">
      <w:lvlJc w:val="left"/>
      <w:lvlText w:val="(%1)"/>
      <w:numFmt w:val="lowerLetter"/>
      <w:start w:val="2"/>
    </w:lvl>
    <w:lvl w:ilvl="1">
      <w:lvlJc w:val="left"/>
      <w:lvlText w:val="(%2)"/>
      <w:numFmt w:val="decimal"/>
      <w:start w:val="1"/>
    </w:lvl>
  </w:abstractNum>
  <w:abstractNum w:abstractNumId="154">
    <w:nsid w:val="5A9CC3E5"/>
    <w:multiLevelType w:val="hybridMultilevel"/>
    <w:lvl w:ilvl="0">
      <w:lvlJc w:val="left"/>
      <w:lvlText w:val="(%1)"/>
      <w:numFmt w:val="decimal"/>
      <w:start w:val="6"/>
    </w:lvl>
    <w:lvl w:ilvl="1">
      <w:lvlJc w:val="left"/>
      <w:lvlText w:val="(%2)"/>
      <w:numFmt w:val="upperLetter"/>
      <w:start w:val="2"/>
    </w:lvl>
  </w:abstractNum>
  <w:abstractNum w:abstractNumId="155">
    <w:nsid w:val="1AFE3625"/>
    <w:multiLevelType w:val="hybridMultilevel"/>
    <w:lvl w:ilvl="0">
      <w:lvlJc w:val="left"/>
      <w:lvlText w:val="(%1)"/>
      <w:numFmt w:val="lowerLetter"/>
      <w:start w:val="1"/>
    </w:lvl>
  </w:abstractNum>
  <w:abstractNum w:abstractNumId="156">
    <w:nsid w:val="3CA88ECF"/>
    <w:multiLevelType w:val="hybridMultilevel"/>
    <w:lvl w:ilvl="0">
      <w:lvlJc w:val="left"/>
      <w:lvlText w:val="(%1)"/>
      <w:numFmt w:val="lowerLetter"/>
      <w:start w:val="1"/>
    </w:lvl>
  </w:abstractNum>
  <w:abstractNum w:abstractNumId="157">
    <w:nsid w:val="6EBE4208"/>
    <w:multiLevelType w:val="hybridMultilevel"/>
    <w:lvl w:ilvl="0">
      <w:lvlJc w:val="left"/>
      <w:lvlText w:val="(%1)"/>
      <w:numFmt w:val="lowerLetter"/>
      <w:start w:val="2"/>
    </w:lvl>
    <w:lvl w:ilvl="1">
      <w:lvlJc w:val="left"/>
      <w:lvlText w:val="(%2)"/>
      <w:numFmt w:val="decimal"/>
      <w:start w:val="1"/>
    </w:lvl>
  </w:abstractNum>
  <w:abstractNum w:abstractNumId="158">
    <w:nsid w:val="C058DF5"/>
    <w:multiLevelType w:val="hybridMultilevel"/>
    <w:lvl w:ilvl="0">
      <w:lvlJc w:val="left"/>
      <w:lvlText w:val="(%1)"/>
      <w:numFmt w:val="decimal"/>
      <w:start w:val="8"/>
    </w:lvl>
  </w:abstractNum>
  <w:abstractNum w:abstractNumId="159">
    <w:nsid w:val="CBE5BE9"/>
    <w:multiLevelType w:val="hybridMultilevel"/>
    <w:lvl w:ilvl="0">
      <w:lvlJc w:val="left"/>
      <w:lvlText w:val="%1"/>
      <w:numFmt w:val="lowerLetter"/>
      <w:start w:val="1"/>
    </w:lvl>
    <w:lvl w:ilvl="1">
      <w:lvlJc w:val="left"/>
      <w:lvlText w:val="(%2)"/>
      <w:numFmt w:val="upperLetter"/>
      <w:start w:val="1"/>
    </w:lvl>
  </w:abstractNum>
  <w:abstractNum w:abstractNumId="160">
    <w:nsid w:val="3102BBE2"/>
    <w:multiLevelType w:val="hybridMultilevel"/>
    <w:lvl w:ilvl="0">
      <w:lvlJc w:val="left"/>
      <w:lvlText w:val="(%1)"/>
      <w:numFmt w:val="lowerLetter"/>
      <w:start w:val="3"/>
    </w:lvl>
    <w:lvl w:ilvl="1">
      <w:lvlJc w:val="left"/>
      <w:lvlText w:val="%2"/>
      <w:numFmt w:val="upperLetter"/>
      <w:start w:val="1"/>
    </w:lvl>
  </w:abstractNum>
  <w:abstractNum w:abstractNumId="161">
    <w:nsid w:val="26A02C5E"/>
    <w:multiLevelType w:val="hybridMultilevel"/>
    <w:lvl w:ilvl="0">
      <w:lvlJc w:val="left"/>
      <w:lvlText w:val="(%1)"/>
      <w:numFmt w:val="lowerLetter"/>
      <w:start w:val="6"/>
    </w:lvl>
  </w:abstractNum>
  <w:abstractNum w:abstractNumId="162">
    <w:nsid w:val="541C8153"/>
    <w:multiLevelType w:val="hybridMultilevel"/>
    <w:lvl w:ilvl="0">
      <w:lvlJc w:val="left"/>
      <w:lvlText w:val="(%1)"/>
      <w:numFmt w:val="lowerLetter"/>
      <w:start w:val="1"/>
    </w:lvl>
  </w:abstractNum>
  <w:abstractNum w:abstractNumId="163">
    <w:nsid w:val="67906F60"/>
    <w:multiLevelType w:val="hybridMultilevel"/>
    <w:lvl w:ilvl="0">
      <w:lvlJc w:val="left"/>
      <w:lvlText w:val="(%1)"/>
      <w:numFmt w:val="lowerLetter"/>
      <w:start w:val="1"/>
    </w:lvl>
    <w:lvl w:ilvl="1">
      <w:lvlJc w:val="left"/>
      <w:lvlText w:val="(%2)"/>
      <w:numFmt w:val="decimal"/>
      <w:start w:val="1"/>
    </w:lvl>
  </w:abstractNum>
  <w:abstractNum w:abstractNumId="164">
    <w:nsid w:val="10DB9DAA"/>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65">
    <w:nsid w:val="697D2D2"/>
    <w:multiLevelType w:val="hybridMultilevel"/>
    <w:lvl w:ilvl="0">
      <w:lvlJc w:val="left"/>
      <w:lvlText w:val="(%1)"/>
      <w:numFmt w:val="upperLetter"/>
      <w:start w:val="3"/>
    </w:lvl>
  </w:abstractNum>
  <w:abstractNum w:abstractNumId="166">
    <w:nsid w:val="6D68AB2"/>
    <w:multiLevelType w:val="hybridMultilevel"/>
    <w:lvl w:ilvl="0">
      <w:lvlJc w:val="left"/>
      <w:lvlText w:val="(%1)"/>
      <w:numFmt w:val="lowerLetter"/>
      <w:start w:val="1"/>
    </w:lvl>
    <w:lvl w:ilvl="1">
      <w:lvlJc w:val="left"/>
      <w:lvlText w:val="(%2)"/>
      <w:numFmt w:val="decimal"/>
      <w:start w:val="1"/>
    </w:lvl>
  </w:abstractNum>
  <w:abstractNum w:abstractNumId="167">
    <w:nsid w:val="3A966CD0"/>
    <w:multiLevelType w:val="hybridMultilevel"/>
    <w:lvl w:ilvl="0">
      <w:lvlJc w:val="left"/>
      <w:lvlText w:val="(%1)"/>
      <w:numFmt w:val="upperLetter"/>
      <w:start w:val="1"/>
    </w:lvl>
  </w:abstractNum>
  <w:abstractNum w:abstractNumId="168">
    <w:nsid w:val="63F37E85"/>
    <w:multiLevelType w:val="hybridMultilevel"/>
    <w:lvl w:ilvl="0">
      <w:lvlJc w:val="left"/>
      <w:lvlText w:val="(%1)"/>
      <w:numFmt w:val="decimal"/>
      <w:start w:val="6"/>
    </w:lvl>
  </w:abstractNum>
  <w:abstractNum w:abstractNumId="169">
    <w:nsid w:val="5895F5FA"/>
    <w:multiLevelType w:val="hybridMultilevel"/>
    <w:lvl w:ilvl="0">
      <w:lvlJc w:val="left"/>
      <w:lvlText w:val="(%1)"/>
      <w:numFmt w:val="lowerRoman"/>
      <w:start w:val="2"/>
    </w:lvl>
    <w:lvl w:ilvl="1">
      <w:lvlJc w:val="left"/>
      <w:lvlText w:val="(%2)"/>
      <w:numFmt w:val="decimal"/>
      <w:start w:val="7"/>
    </w:lvl>
  </w:abstractNum>
  <w:abstractNum w:abstractNumId="170">
    <w:nsid w:val="38A5D054"/>
    <w:multiLevelType w:val="hybridMultilevel"/>
    <w:lvl w:ilvl="0">
      <w:lvlJc w:val="left"/>
      <w:lvlText w:val="(%1)"/>
      <w:numFmt w:val="lowerLetter"/>
      <w:start w:val="2"/>
    </w:lvl>
  </w:abstractNum>
  <w:abstractNum w:abstractNumId="171">
    <w:nsid w:val="F3F09D8"/>
    <w:multiLevelType w:val="hybridMultilevel"/>
    <w:lvl w:ilvl="0">
      <w:lvlJc w:val="left"/>
      <w:lvlText w:val="(%1)"/>
      <w:numFmt w:val="lowerLetter"/>
      <w:start w:val="1"/>
    </w:lvl>
  </w:abstractNum>
  <w:abstractNum w:abstractNumId="172">
    <w:nsid w:val="4B793735"/>
    <w:multiLevelType w:val="hybridMultilevel"/>
    <w:lvl w:ilvl="0">
      <w:lvlJc w:val="left"/>
      <w:lvlText w:val="(%1)"/>
      <w:numFmt w:val="lowerLetter"/>
      <w:start w:val="1"/>
    </w:lvl>
    <w:lvl w:ilvl="1">
      <w:lvlJc w:val="left"/>
      <w:lvlText w:val="(%2)"/>
      <w:numFmt w:val="decimal"/>
      <w:start w:val="1"/>
    </w:lvl>
  </w:abstractNum>
  <w:abstractNum w:abstractNumId="173">
    <w:nsid w:val="4A10B4E8"/>
    <w:multiLevelType w:val="hybridMultilevel"/>
    <w:lvl w:ilvl="0">
      <w:lvlJc w:val="left"/>
      <w:lvlText w:val="%1"/>
      <w:numFmt w:val="lowerLetter"/>
      <w:start w:val="1"/>
    </w:lvl>
    <w:lvl w:ilvl="1">
      <w:lvlJc w:val="left"/>
      <w:lvlText w:val="(%2)"/>
      <w:numFmt w:val="decimal"/>
      <w:start w:val="2"/>
    </w:lvl>
  </w:abstractNum>
  <w:abstractNum w:abstractNumId="174">
    <w:nsid w:val="43D3BCD4"/>
    <w:multiLevelType w:val="hybridMultilevel"/>
    <w:lvl w:ilvl="0">
      <w:lvlJc w:val="left"/>
      <w:lvlText w:val="(%1)"/>
      <w:numFmt w:val="lowerLetter"/>
      <w:start w:val="4"/>
    </w:lvl>
    <w:lvl w:ilvl="1">
      <w:lvlJc w:val="left"/>
      <w:lvlText w:val="%2"/>
      <w:numFmt w:val="decimal"/>
      <w:start w:val="1"/>
    </w:lvl>
  </w:abstractNum>
  <w:abstractNum w:abstractNumId="175">
    <w:nsid w:val="4C2A7166"/>
    <w:multiLevelType w:val="hybridMultilevel"/>
    <w:lvl w:ilvl="0">
      <w:lvlJc w:val="left"/>
      <w:lvlText w:val="(%1)"/>
      <w:numFmt w:val="lowerLetter"/>
      <w:start w:val="1"/>
    </w:lvl>
  </w:abstractNum>
  <w:abstractNum w:abstractNumId="176">
    <w:nsid w:val="2E534A82"/>
    <w:multiLevelType w:val="hybridMultilevel"/>
    <w:lvl w:ilvl="0">
      <w:lvlJc w:val="left"/>
      <w:lvlText w:val="(%1)"/>
      <w:numFmt w:val="lowerLetter"/>
      <w:start w:val="3"/>
    </w:lvl>
  </w:abstractNum>
  <w:abstractNum w:abstractNumId="177">
    <w:nsid w:val="26F2D364"/>
    <w:multiLevelType w:val="hybridMultilevel"/>
    <w:lvl w:ilvl="0">
      <w:lvlJc w:val="left"/>
      <w:lvlText w:val="(%1)"/>
      <w:numFmt w:val="lowerLetter"/>
      <w:start w:val="10"/>
    </w:lvl>
  </w:abstractNum>
  <w:abstractNum w:abstractNumId="178">
    <w:nsid w:val="71C1AF98"/>
    <w:multiLevelType w:val="hybridMultilevel"/>
    <w:lvl w:ilvl="0">
      <w:lvlJc w:val="left"/>
      <w:lvlText w:val="(%1)"/>
      <w:numFmt w:val="lowerLetter"/>
      <w:start w:val="17"/>
    </w:lvl>
    <w:lvl w:ilvl="1">
      <w:lvlJc w:val="left"/>
      <w:lvlText w:val="(%2)"/>
      <w:numFmt w:val="decimal"/>
      <w:start w:val="1"/>
    </w:lvl>
  </w:abstractNum>
  <w:abstractNum w:abstractNumId="179">
    <w:nsid w:val="3D00B9D9"/>
    <w:multiLevelType w:val="hybridMultilevel"/>
    <w:lvl w:ilvl="0">
      <w:lvlJc w:val="left"/>
      <w:lvlText w:val="(%1)"/>
      <w:numFmt w:val="lowerLetter"/>
      <w:start w:val="1"/>
    </w:lvl>
  </w:abstractNum>
  <w:abstractNum w:abstractNumId="180">
    <w:nsid w:val="15BCABA8"/>
    <w:multiLevelType w:val="hybridMultilevel"/>
    <w:lvl w:ilvl="0">
      <w:lvlJc w:val="left"/>
      <w:lvlText w:val="%1"/>
      <w:numFmt w:val="decimal"/>
      <w:start w:val="1"/>
    </w:lvl>
    <w:lvl w:ilvl="1">
      <w:lvlJc w:val="left"/>
      <w:lvlText w:val="(%2)"/>
      <w:numFmt w:val="lowerLetter"/>
      <w:start w:val="3"/>
    </w:lvl>
  </w:abstractNum>
  <w:abstractNum w:abstractNumId="181">
    <w:nsid w:val="4E0B9A87"/>
    <w:multiLevelType w:val="hybridMultilevel"/>
    <w:lvl w:ilvl="0">
      <w:lvlJc w:val="left"/>
      <w:lvlText w:val="(%1)"/>
      <w:numFmt w:val="decimal"/>
      <w:start w:val="6"/>
    </w:lvl>
    <w:lvl w:ilvl="1">
      <w:lvlJc w:val="left"/>
      <w:lvlText w:val="(%2)"/>
      <w:numFmt w:val="lowerLetter"/>
      <w:start w:val="6"/>
    </w:lvl>
  </w:abstractNum>
  <w:abstractNum w:abstractNumId="182">
    <w:nsid w:val="434BAE75"/>
    <w:multiLevelType w:val="hybridMultilevel"/>
    <w:lvl w:ilvl="0">
      <w:lvlJc w:val="left"/>
      <w:lvlText w:val="(%1)"/>
      <w:numFmt w:val="lowerLetter"/>
      <w:start w:val="1"/>
    </w:lvl>
  </w:abstractNum>
  <w:abstractNum w:abstractNumId="183">
    <w:nsid w:val="4F38F265"/>
    <w:multiLevelType w:val="hybridMultilevel"/>
    <w:lvl w:ilvl="0">
      <w:lvlJc w:val="left"/>
      <w:lvlText w:val="%1"/>
      <w:numFmt w:val="lowerLetter"/>
      <w:start w:val="1"/>
    </w:lvl>
    <w:lvl w:ilvl="1">
      <w:lvlJc w:val="left"/>
      <w:lvlText w:val="(%2)"/>
      <w:numFmt w:val="decimal"/>
      <w:start w:val="1"/>
    </w:lvl>
  </w:abstractNum>
  <w:abstractNum w:abstractNumId="184">
    <w:nsid w:val="4C502870"/>
    <w:multiLevelType w:val="hybridMultilevel"/>
    <w:lvl w:ilvl="0">
      <w:lvlJc w:val="left"/>
      <w:lvlText w:val="(%1)"/>
      <w:numFmt w:val="lowerLetter"/>
      <w:start w:val="3"/>
    </w:lvl>
    <w:lvl w:ilvl="1">
      <w:lvlJc w:val="left"/>
      <w:lvlText w:val="%2"/>
      <w:numFmt w:val="decimal"/>
      <w:start w:val="1"/>
    </w:lvl>
  </w:abstractNum>
  <w:abstractNum w:abstractNumId="185">
    <w:nsid w:val="1DE8725A"/>
    <w:multiLevelType w:val="hybridMultilevel"/>
    <w:lvl w:ilvl="0">
      <w:lvlJc w:val="left"/>
      <w:lvlText w:val="(%1)"/>
      <w:numFmt w:val="lowerLetter"/>
      <w:start w:val="1"/>
    </w:lvl>
  </w:abstractNum>
  <w:abstractNum w:abstractNumId="186">
    <w:nsid w:val="6A37288A"/>
    <w:multiLevelType w:val="hybridMultilevel"/>
    <w:lvl w:ilvl="0">
      <w:lvlJc w:val="left"/>
      <w:lvlText w:val="(%1)"/>
      <w:numFmt w:val="lowerLetter"/>
      <w:start w:val="1"/>
    </w:lvl>
  </w:abstractNum>
  <w:abstractNum w:abstractNumId="187">
    <w:nsid w:val="8F8B73F"/>
    <w:multiLevelType w:val="hybridMultilevel"/>
    <w:lvl w:ilvl="0">
      <w:lvlJc w:val="left"/>
      <w:lvlText w:val="(%1)"/>
      <w:numFmt w:val="lowerLetter"/>
      <w:start w:val="1"/>
    </w:lvl>
    <w:lvl w:ilvl="1">
      <w:lvlJc w:val="left"/>
      <w:lvlText w:val="(%2)"/>
      <w:numFmt w:val="decimal"/>
      <w:start w:val="1"/>
    </w:lvl>
  </w:abstractNum>
  <w:abstractNum w:abstractNumId="188">
    <w:nsid w:val="CA6B462"/>
    <w:multiLevelType w:val="hybridMultilevel"/>
    <w:lvl w:ilvl="0">
      <w:lvlJc w:val="left"/>
      <w:lvlText w:val="%1"/>
      <w:numFmt w:val="lowerLetter"/>
      <w:start w:val="1"/>
    </w:lvl>
    <w:lvl w:ilvl="1">
      <w:lvlJc w:val="left"/>
      <w:lvlText w:val="(%2)"/>
      <w:numFmt w:val="decimal"/>
      <w:start w:val="8"/>
    </w:lvl>
  </w:abstractNum>
  <w:abstractNum w:abstractNumId="189">
    <w:nsid w:val="763CB680"/>
    <w:multiLevelType w:val="hybridMultilevel"/>
    <w:lvl w:ilvl="0">
      <w:lvlJc w:val="left"/>
      <w:lvlText w:val="(%1)"/>
      <w:numFmt w:val="lowerLetter"/>
      <w:start w:val="2"/>
    </w:lvl>
    <w:lvl w:ilvl="1">
      <w:lvlJc w:val="left"/>
      <w:lvlText w:val="%2"/>
      <w:numFmt w:val="decimal"/>
      <w:start w:val="1"/>
    </w:lvl>
  </w:abstractNum>
  <w:abstractNum w:abstractNumId="190">
    <w:nsid w:val="15B71329"/>
    <w:multiLevelType w:val="hybridMultilevel"/>
    <w:lvl w:ilvl="0">
      <w:lvlJc w:val="left"/>
      <w:lvlText w:val="(%1)"/>
      <w:numFmt w:val="lowerLetter"/>
      <w:start w:val="1"/>
    </w:lvl>
  </w:abstractNum>
  <w:abstractNum w:abstractNumId="191">
    <w:nsid w:val="3DA97044"/>
    <w:multiLevelType w:val="hybridMultilevel"/>
    <w:lvl w:ilvl="0">
      <w:lvlJc w:val="left"/>
      <w:lvlText w:val="(%1)"/>
      <w:numFmt w:val="lowerLetter"/>
      <w:start w:val="7"/>
    </w:lvl>
  </w:abstractNum>
  <w:abstractNum w:abstractNumId="192">
    <w:nsid w:val="1CDCE2DE"/>
    <w:multiLevelType w:val="hybridMultilevel"/>
    <w:lvl w:ilvl="0">
      <w:lvlJc w:val="left"/>
      <w:lvlText w:val="(%1)"/>
      <w:numFmt w:val="lowerLetter"/>
      <w:start w:val="8"/>
    </w:lvl>
  </w:abstractNum>
  <w:abstractNum w:abstractNumId="193">
    <w:nsid w:val="69D3947C"/>
    <w:multiLevelType w:val="hybridMultilevel"/>
    <w:lvl w:ilvl="0">
      <w:lvlJc w:val="left"/>
      <w:lvlText w:val="(%1)"/>
      <w:numFmt w:val="lowerLetter"/>
      <w:start w:val="1"/>
    </w:lvl>
    <w:lvl w:ilvl="1">
      <w:lvlJc w:val="left"/>
      <w:lvlText w:val="(%2)"/>
      <w:numFmt w:val="decimal"/>
      <w:start w:val="1"/>
    </w:lvl>
  </w:abstractNum>
  <w:abstractNum w:abstractNumId="194">
    <w:nsid w:val="2539DFA5"/>
    <w:multiLevelType w:val="hybridMultilevel"/>
    <w:lvl w:ilvl="0">
      <w:lvlJc w:val="left"/>
      <w:lvlText w:val="(%1)"/>
      <w:numFmt w:val="lowerLetter"/>
      <w:start w:val="35"/>
    </w:lvl>
    <w:lvl w:ilvl="1">
      <w:lvlJc w:val="left"/>
      <w:lvlText w:val="%2"/>
      <w:numFmt w:val="decimal"/>
      <w:start w:val="1"/>
    </w:lvl>
  </w:abstractNum>
  <w:abstractNum w:abstractNumId="195">
    <w:nsid w:val="2DB88089"/>
    <w:multiLevelType w:val="hybridMultilevel"/>
    <w:lvl w:ilvl="0">
      <w:lvlJc w:val="left"/>
      <w:lvlText w:val="(%1)"/>
      <w:numFmt w:val="lowerLetter"/>
      <w:start w:val="2"/>
    </w:lvl>
    <w:lvl w:ilvl="1">
      <w:lvlJc w:val="left"/>
      <w:lvlText w:val="%2"/>
      <w:numFmt w:val="decimal"/>
      <w:start w:val="1"/>
    </w:lvl>
  </w:abstractNum>
  <w:abstractNum w:abstractNumId="196">
    <w:nsid w:val="706B674E"/>
    <w:multiLevelType w:val="hybridMultilevel"/>
    <w:lvl w:ilvl="0">
      <w:lvlJc w:val="left"/>
      <w:lvlText w:val="(%1)"/>
      <w:numFmt w:val="lowerLetter"/>
      <w:start w:val="1"/>
    </w:lvl>
  </w:abstractNum>
  <w:abstractNum w:abstractNumId="197">
    <w:nsid w:val="2C106A57"/>
    <w:multiLevelType w:val="hybridMultilevel"/>
    <w:lvl w:ilvl="0">
      <w:lvlJc w:val="left"/>
      <w:lvlText w:val="%1"/>
      <w:numFmt w:val="decimal"/>
      <w:start w:val="1"/>
    </w:lvl>
    <w:lvl w:ilvl="1">
      <w:lvlJc w:val="left"/>
      <w:lvlText w:val="(%2)"/>
      <w:numFmt w:val="lowerLetter"/>
      <w:start w:val="2"/>
    </w:lvl>
  </w:abstractNum>
  <w:abstractNum w:abstractNumId="198">
    <w:nsid w:val="684EED59"/>
    <w:multiLevelType w:val="hybridMultilevel"/>
    <w:lvl w:ilvl="0">
      <w:lvlJc w:val="left"/>
      <w:lvlText w:val="(%1)"/>
      <w:numFmt w:val="decimal"/>
      <w:start w:val="6"/>
    </w:lvl>
    <w:lvl w:ilvl="1">
      <w:lvlJc w:val="left"/>
      <w:lvlText w:val="(%2)"/>
      <w:numFmt w:val="lowerLetter"/>
      <w:start w:val="3"/>
    </w:lvl>
  </w:abstractNum>
  <w:abstractNum w:abstractNumId="199">
    <w:nsid w:val="545EE5D3"/>
    <w:multiLevelType w:val="hybridMultilevel"/>
    <w:lvl w:ilvl="0">
      <w:lvlJc w:val="left"/>
      <w:lvlText w:val="(%1)"/>
      <w:numFmt w:val="lowerLetter"/>
      <w:start w:val="7"/>
    </w:lvl>
  </w:abstractNum>
  <w:abstractNum w:abstractNumId="200">
    <w:nsid w:val="4A66051"/>
    <w:multiLevelType w:val="hybridMultilevel"/>
    <w:lvl w:ilvl="0">
      <w:lvlJc w:val="left"/>
      <w:lvlText w:val="(%1)"/>
      <w:numFmt w:val="lowerLetter"/>
      <w:start w:val="1"/>
    </w:lvl>
  </w:abstractNum>
  <w:abstractNum w:abstractNumId="201">
    <w:nsid w:val="20F4BDAD"/>
    <w:multiLevelType w:val="hybridMultilevel"/>
    <w:lvl w:ilvl="0">
      <w:lvlJc w:val="left"/>
      <w:lvlText w:val="(%1)"/>
      <w:numFmt w:val="decimal"/>
      <w:start w:val="1"/>
    </w:lvl>
  </w:abstractNum>
  <w:abstractNum w:abstractNumId="202">
    <w:nsid w:val="639DEFAC"/>
    <w:multiLevelType w:val="hybridMultilevel"/>
    <w:lvl w:ilvl="0">
      <w:lvlJc w:val="left"/>
      <w:lvlText w:val="(%1)"/>
      <w:numFmt w:val="lowerLetter"/>
      <w:start w:val="3"/>
    </w:lvl>
    <w:lvl w:ilvl="1">
      <w:lvlJc w:val="left"/>
      <w:lvlText w:val="(%2)"/>
      <w:numFmt w:val="decimal"/>
      <w:start w:val="1"/>
    </w:lvl>
  </w:abstractNum>
  <w:abstractNum w:abstractNumId="203">
    <w:nsid w:val="501F9786"/>
    <w:multiLevelType w:val="hybridMultilevel"/>
    <w:lvl w:ilvl="0">
      <w:lvlJc w:val="left"/>
      <w:lvlText w:val="(%1)"/>
      <w:numFmt w:val="lowerLetter"/>
      <w:start w:val="1"/>
    </w:lvl>
  </w:abstractNum>
  <w:abstractNum w:abstractNumId="204">
    <w:nsid w:val="6B057295"/>
    <w:multiLevelType w:val="hybridMultilevel"/>
    <w:lvl w:ilvl="0">
      <w:lvlJc w:val="left"/>
      <w:lvlText w:val="(%1)"/>
      <w:numFmt w:val="lowerLetter"/>
      <w:start w:val="2"/>
    </w:lvl>
    <w:lvl w:ilvl="1">
      <w:lvlJc w:val="left"/>
      <w:lvlText w:val="(%2)"/>
      <w:numFmt w:val="decimal"/>
      <w:start w:val="1"/>
    </w:lvl>
  </w:abstractNum>
  <w:abstractNum w:abstractNumId="205">
    <w:nsid w:val="2771AC80"/>
    <w:multiLevelType w:val="hybridMultilevel"/>
    <w:lvl w:ilvl="0">
      <w:lvlJc w:val="left"/>
      <w:lvlText w:val="(%1)"/>
      <w:numFmt w:val="lowerLetter"/>
      <w:start w:val="1"/>
    </w:lvl>
  </w:abstractNum>
  <w:abstractNum w:abstractNumId="206">
    <w:nsid w:val="1C4A08EC"/>
    <w:multiLevelType w:val="hybridMultilevel"/>
    <w:lvl w:ilvl="0">
      <w:lvlJc w:val="left"/>
      <w:lvlText w:val="(%1)"/>
      <w:numFmt w:val="lowerLetter"/>
      <w:start w:val="2"/>
    </w:lvl>
    <w:lvl w:ilvl="1">
      <w:lvlJc w:val="left"/>
      <w:lvlText w:val="(%2)"/>
      <w:numFmt w:val="decimal"/>
      <w:start w:val="1"/>
    </w:lvl>
  </w:abstractNum>
  <w:abstractNum w:abstractNumId="207">
    <w:nsid w:val="1958BD17"/>
    <w:multiLevelType w:val="hybridMultilevel"/>
    <w:lvl w:ilvl="0">
      <w:lvlJc w:val="left"/>
      <w:lvlText w:val="(%1)"/>
      <w:numFmt w:val="lowerRoman"/>
      <w:start w:val="3"/>
    </w:lvl>
  </w:abstractNum>
  <w:abstractNum w:abstractNumId="208">
    <w:nsid w:val="4E647FE4"/>
    <w:multiLevelType w:val="hybridMultilevel"/>
    <w:lvl w:ilvl="0">
      <w:lvlJc w:val="left"/>
      <w:lvlText w:val="(%1)"/>
      <w:numFmt w:val="lowerLetter"/>
      <w:start w:val="1"/>
    </w:lvl>
  </w:abstractNum>
  <w:abstractNum w:abstractNumId="209">
    <w:nsid w:val="E0BB885"/>
    <w:multiLevelType w:val="hybridMultilevel"/>
    <w:lvl w:ilvl="0">
      <w:lvlJc w:val="left"/>
      <w:lvlText w:val="(%1)"/>
      <w:numFmt w:val="lowerLetter"/>
      <w:start w:val="1"/>
    </w:lvl>
  </w:abstractNum>
  <w:abstractNum w:abstractNumId="210">
    <w:nsid w:val="565976F1"/>
    <w:multiLevelType w:val="hybridMultilevel"/>
    <w:lvl w:ilvl="0">
      <w:lvlJc w:val="left"/>
      <w:lvlText w:val="(%1)"/>
      <w:numFmt w:val="lowerLetter"/>
      <w:start w:val="2"/>
    </w:lvl>
  </w:abstractNum>
  <w:abstractNum w:abstractNumId="211">
    <w:nsid w:val="64212B8C"/>
    <w:multiLevelType w:val="hybridMultilevel"/>
    <w:lvl w:ilvl="0">
      <w:lvlJc w:val="left"/>
      <w:lvlText w:val="(%1)"/>
      <w:numFmt w:val="lowerLetter"/>
      <w:start w:val="1"/>
    </w:lvl>
    <w:lvl w:ilvl="1">
      <w:lvlJc w:val="left"/>
      <w:lvlText w:val="(%2)"/>
      <w:numFmt w:val="decimal"/>
      <w:start w:val="1"/>
    </w:lvl>
  </w:abstractNum>
  <w:abstractNum w:abstractNumId="212">
    <w:nsid w:val="5C17530C"/>
    <w:multiLevelType w:val="hybridMultilevel"/>
    <w:lvl w:ilvl="0">
      <w:lvlJc w:val="left"/>
      <w:lvlText w:val="(%1)"/>
      <w:numFmt w:val="lowerLetter"/>
      <w:start w:val="1"/>
    </w:lvl>
  </w:abstractNum>
  <w:abstractNum w:abstractNumId="213">
    <w:nsid w:val="19A52566"/>
    <w:multiLevelType w:val="hybridMultilevel"/>
    <w:lvl w:ilvl="0">
      <w:lvlJc w:val="left"/>
      <w:lvlText w:val="(%1)"/>
      <w:numFmt w:val="lowerLetter"/>
      <w:start w:val="1"/>
    </w:lvl>
  </w:abstractNum>
  <w:abstractNum w:abstractNumId="214">
    <w:nsid w:val="335A1DF1"/>
    <w:multiLevelType w:val="hybridMultilevel"/>
    <w:lvl w:ilvl="0">
      <w:lvlJc w:val="left"/>
      <w:lvlText w:val="(%1)"/>
      <w:numFmt w:val="lowerLetter"/>
      <w:start w:val="1"/>
    </w:lvl>
  </w:abstractNum>
  <w:abstractNum w:abstractNumId="215">
    <w:nsid w:val="28677B7C"/>
    <w:multiLevelType w:val="hybridMultilevel"/>
    <w:lvl w:ilvl="0">
      <w:lvlJc w:val="left"/>
      <w:lvlText w:val="1"/>
      <w:numFmt w:val="bullet"/>
      <w:start w:val="1"/>
    </w:lvl>
  </w:abstractNum>
  <w:abstractNum w:abstractNumId="216">
    <w:nsid w:val="378D97C0"/>
    <w:multiLevelType w:val="hybridMultilevel"/>
    <w:lvl w:ilvl="0">
      <w:lvlJc w:val="left"/>
      <w:lvlText w:val="(%1)"/>
      <w:numFmt w:val="decimal"/>
      <w:start w:val="1"/>
    </w:lvl>
  </w:abstractNum>
  <w:abstractNum w:abstractNumId="217">
    <w:nsid w:val="1D91467C"/>
    <w:multiLevelType w:val="hybridMultilevel"/>
    <w:lvl w:ilvl="0">
      <w:lvlJc w:val="left"/>
      <w:lvlText w:val="(%1)"/>
      <w:numFmt w:val="decimal"/>
      <w:start w:val="2"/>
    </w:lvl>
  </w:abstractNum>
  <w:abstractNum w:abstractNumId="218">
    <w:nsid w:val="316032BB"/>
    <w:multiLevelType w:val="hybridMultilevel"/>
    <w:lvl w:ilvl="0">
      <w:lvlJc w:val="left"/>
      <w:lvlText w:val="(%1)"/>
      <w:numFmt w:val="decimal"/>
      <w:start w:val="5"/>
    </w:lvl>
  </w:abstractNum>
  <w:abstractNum w:abstractNumId="219">
    <w:nsid w:val="44344C22"/>
    <w:multiLevelType w:val="hybridMultilevel"/>
    <w:lvl w:ilvl="0">
      <w:lvlJc w:val="left"/>
      <w:lvlText w:val="(%1)"/>
      <w:numFmt w:val="lowerLetter"/>
      <w:start w:val="2"/>
    </w:lvl>
  </w:abstractNum>
  <w:abstractNum w:abstractNumId="220">
    <w:nsid w:val="13CDFCFC"/>
    <w:multiLevelType w:val="hybridMultilevel"/>
    <w:lvl w:ilvl="0">
      <w:lvlJc w:val="left"/>
      <w:lvlText w:val="(%1)"/>
      <w:numFmt w:val="decimal"/>
      <w:start w:val="6"/>
    </w:lvl>
  </w:abstractNum>
  <w:abstractNum w:abstractNumId="221">
    <w:nsid w:val="471745E4"/>
    <w:multiLevelType w:val="hybridMultilevel"/>
    <w:lvl w:ilvl="0">
      <w:lvlJc w:val="left"/>
      <w:lvlText w:val="(%1)"/>
      <w:numFmt w:val="lowerLetter"/>
      <w:start w:val="1"/>
    </w:lvl>
  </w:abstractNum>
  <w:abstractNum w:abstractNumId="222">
    <w:nsid w:val="1DDBC66"/>
    <w:multiLevelType w:val="hybridMultilevel"/>
    <w:lvl w:ilvl="0">
      <w:lvlJc w:val="left"/>
      <w:lvlText w:val="(%1)"/>
      <w:numFmt w:val="decimal"/>
      <w:start w:val="7"/>
    </w:lvl>
  </w:abstractNum>
  <w:abstractNum w:abstractNumId="223">
    <w:nsid w:val="30AADFDA"/>
    <w:multiLevelType w:val="hybridMultilevel"/>
    <w:lvl w:ilvl="0">
      <w:lvlJc w:val="left"/>
      <w:lvlText w:val="(%1)"/>
      <w:numFmt w:val="lowerLetter"/>
      <w:start w:val="2"/>
    </w:lvl>
  </w:abstractNum>
  <w:abstractNum w:abstractNumId="224">
    <w:nsid w:val="30EADA61"/>
    <w:multiLevelType w:val="hybridMultilevel"/>
    <w:lvl w:ilvl="0">
      <w:lvlJc w:val="left"/>
      <w:lvlText w:val="(%1)"/>
      <w:numFmt w:val="decimal"/>
      <w:start w:val="9"/>
    </w:lvl>
  </w:abstractNum>
  <w:abstractNum w:abstractNumId="225">
    <w:nsid w:val="27179C0B"/>
    <w:multiLevelType w:val="hybridMultilevel"/>
    <w:lvl w:ilvl="0">
      <w:lvlJc w:val="left"/>
      <w:lvlText w:val="(%1)"/>
      <w:numFmt w:val="decimal"/>
      <w:start w:val="10"/>
    </w:lvl>
  </w:abstractNum>
  <w:abstractNum w:abstractNumId="226">
    <w:nsid w:val="5E636063"/>
    <w:multiLevelType w:val="hybridMultilevel"/>
    <w:lvl w:ilvl="0">
      <w:lvlJc w:val="left"/>
      <w:lvlText w:val="(%1)"/>
      <w:numFmt w:val="decimal"/>
      <w:start w:val="17"/>
    </w:lvl>
  </w:abstractNum>
  <w:abstractNum w:abstractNumId="227">
    <w:nsid w:val="215641AF"/>
    <w:multiLevelType w:val="hybridMultilevel"/>
    <w:lvl w:ilvl="0">
      <w:lvlJc w:val="left"/>
      <w:lvlText w:val="*"/>
      <w:numFmt w:val="bullet"/>
      <w:start w:val="1"/>
    </w:lvl>
  </w:abstractNum>
  <w:abstractNum w:abstractNumId="228">
    <w:nsid w:val="5328066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2026-05-26T05:12:36Z</dcterms:created>
  <dcterms:modified xsi:type="dcterms:W3CDTF">2026-05-26T05:12:36Z</dcterms:modified>
</cp:coreProperties>
</file>